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7E5D" w14:textId="78A34A50" w:rsidR="00D667C0" w:rsidRPr="00DE55F1" w:rsidRDefault="00D667C0" w:rsidP="00D667C0">
      <w:pPr>
        <w:pStyle w:val="NoSpacing"/>
        <w:rPr>
          <w:rFonts w:ascii="Verdana" w:hAnsi="Verdana"/>
          <w:sz w:val="24"/>
          <w:szCs w:val="24"/>
        </w:rPr>
      </w:pPr>
      <w:r>
        <w:rPr>
          <w:noProof/>
          <w:sz w:val="28"/>
          <w:szCs w:val="28"/>
        </w:rPr>
        <w:drawing>
          <wp:anchor distT="0" distB="0" distL="114300" distR="114300" simplePos="0" relativeHeight="251659264" behindDoc="0" locked="0" layoutInCell="1" allowOverlap="1" wp14:anchorId="705F9D3F" wp14:editId="1F20627D">
            <wp:simplePos x="0" y="0"/>
            <wp:positionH relativeFrom="margin">
              <wp:align>left</wp:align>
            </wp:positionH>
            <wp:positionV relativeFrom="margin">
              <wp:align>top</wp:align>
            </wp:positionV>
            <wp:extent cx="594995" cy="500380"/>
            <wp:effectExtent l="0" t="0" r="0" b="0"/>
            <wp:wrapSquare wrapText="bothSides"/>
            <wp:docPr id="32" name="Llun 9" descr="S4C_Black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9" descr="S4C_Black Templat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299" cy="54768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24"/>
        </w:rPr>
        <w:t>Terms of reference</w:t>
      </w:r>
    </w:p>
    <w:p w14:paraId="16729925" w14:textId="574C552F" w:rsidR="00D667C0" w:rsidRPr="00DE55F1" w:rsidRDefault="00DE55F1" w:rsidP="00D667C0">
      <w:pPr>
        <w:pStyle w:val="NoSpacing"/>
        <w:rPr>
          <w:rFonts w:ascii="Verdana" w:hAnsi="Verdana"/>
          <w:b/>
          <w:bCs/>
          <w:sz w:val="24"/>
          <w:szCs w:val="24"/>
        </w:rPr>
      </w:pPr>
      <w:r>
        <w:rPr>
          <w:rFonts w:ascii="Verdana" w:hAnsi="Verdana"/>
          <w:b/>
          <w:sz w:val="24"/>
        </w:rPr>
        <w:t>Audit and Risk Committee</w:t>
      </w:r>
    </w:p>
    <w:p w14:paraId="4569CE5F" w14:textId="0F813D6B" w:rsidR="00D667C0" w:rsidRPr="000C06B6" w:rsidRDefault="00775FA4" w:rsidP="00D667C0">
      <w:pPr>
        <w:pStyle w:val="NoSpacing"/>
        <w:rPr>
          <w:rFonts w:ascii="Verdana" w:hAnsi="Verdana"/>
          <w:sz w:val="18"/>
          <w:szCs w:val="18"/>
        </w:rPr>
      </w:pPr>
      <w:r w:rsidRPr="00775FA4">
        <w:rPr>
          <w:rFonts w:ascii="Verdana" w:hAnsi="Verdana"/>
          <w:sz w:val="18"/>
        </w:rPr>
        <w:t>Approved: March 2024 (Reviewed: March 2024; Next review: March 2026)</w:t>
      </w:r>
    </w:p>
    <w:p w14:paraId="071EF99E" w14:textId="1AB40EF7" w:rsidR="00D667C0" w:rsidRDefault="00D667C0" w:rsidP="00D667C0">
      <w:pPr>
        <w:pStyle w:val="NoSpacing"/>
        <w:rPr>
          <w:rFonts w:ascii="Verdana" w:hAnsi="Verdana"/>
          <w:sz w:val="18"/>
          <w:szCs w:val="18"/>
        </w:rPr>
      </w:pPr>
    </w:p>
    <w:p w14:paraId="08AEE470" w14:textId="6BC8F6BB" w:rsidR="006829B3" w:rsidRPr="004351AB" w:rsidRDefault="006829B3" w:rsidP="00D667C0">
      <w:pPr>
        <w:pStyle w:val="NoSpacing"/>
        <w:rPr>
          <w:rFonts w:ascii="Verdana" w:hAnsi="Verdana"/>
          <w:sz w:val="18"/>
          <w:szCs w:val="18"/>
        </w:rPr>
      </w:pPr>
      <w:r>
        <w:rPr>
          <w:rFonts w:ascii="Verdana" w:hAnsi="Verdana"/>
          <w:b/>
          <w:sz w:val="18"/>
        </w:rPr>
        <w:t>Purpose</w:t>
      </w:r>
    </w:p>
    <w:p w14:paraId="29A0D346" w14:textId="101DA7C1" w:rsidR="00931B24" w:rsidRPr="004351AB" w:rsidRDefault="009B1E18" w:rsidP="009B1E18">
      <w:pPr>
        <w:pStyle w:val="NoSpacing"/>
        <w:rPr>
          <w:rFonts w:ascii="Verdana" w:hAnsi="Verdana"/>
          <w:sz w:val="18"/>
          <w:szCs w:val="18"/>
        </w:rPr>
      </w:pPr>
      <w:r>
        <w:rPr>
          <w:rFonts w:ascii="Verdana" w:hAnsi="Verdana"/>
          <w:sz w:val="18"/>
        </w:rPr>
        <w:t>The Audit and Risk Committee supports the Board and Chief Executive (as Accounting Officer for S4C) in relation to the organisation’s internal control and assurance arrangements. It is liable to the Board.</w:t>
      </w:r>
    </w:p>
    <w:p w14:paraId="56FA088C" w14:textId="3A91FFEF" w:rsidR="00005E63" w:rsidRPr="004351AB" w:rsidRDefault="00005E63" w:rsidP="00D667C0">
      <w:pPr>
        <w:pStyle w:val="NoSpacing"/>
        <w:rPr>
          <w:rFonts w:ascii="Verdana" w:hAnsi="Verdana"/>
          <w:sz w:val="18"/>
          <w:szCs w:val="18"/>
        </w:rPr>
      </w:pPr>
    </w:p>
    <w:p w14:paraId="0E14383D" w14:textId="77777777" w:rsidR="00310F68" w:rsidRPr="004351AB" w:rsidRDefault="00310F68" w:rsidP="00D667C0">
      <w:pPr>
        <w:pStyle w:val="NoSpacing"/>
        <w:rPr>
          <w:rFonts w:ascii="Verdana" w:hAnsi="Verdana"/>
          <w:sz w:val="18"/>
          <w:szCs w:val="18"/>
        </w:rPr>
      </w:pPr>
    </w:p>
    <w:p w14:paraId="4B7EF65B" w14:textId="0D84D208" w:rsidR="006829B3" w:rsidRPr="004351AB" w:rsidRDefault="005B69B7" w:rsidP="00D667C0">
      <w:pPr>
        <w:pStyle w:val="NoSpacing"/>
        <w:rPr>
          <w:rFonts w:ascii="Verdana" w:hAnsi="Verdana"/>
          <w:b/>
          <w:bCs/>
          <w:sz w:val="18"/>
          <w:szCs w:val="18"/>
        </w:rPr>
      </w:pPr>
      <w:r>
        <w:rPr>
          <w:rFonts w:ascii="Verdana" w:hAnsi="Verdana"/>
          <w:b/>
          <w:sz w:val="18"/>
        </w:rPr>
        <w:t>Membership and Other Attendance</w:t>
      </w:r>
    </w:p>
    <w:p w14:paraId="3B7A3421" w14:textId="77777777" w:rsidR="00BE274E" w:rsidRPr="004351AB" w:rsidRDefault="00BE274E" w:rsidP="00D667C0">
      <w:pPr>
        <w:pStyle w:val="NoSpacing"/>
        <w:rPr>
          <w:rFonts w:ascii="Verdana" w:hAnsi="Verdana"/>
          <w:b/>
          <w:bCs/>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005E63" w:rsidRPr="0058067B" w14:paraId="2073FFA8" w14:textId="77777777" w:rsidTr="00884A7E">
        <w:tc>
          <w:tcPr>
            <w:tcW w:w="5097" w:type="dxa"/>
          </w:tcPr>
          <w:p w14:paraId="313495D8" w14:textId="781E6E89" w:rsidR="00005E63" w:rsidRPr="007659AA" w:rsidRDefault="00005E63" w:rsidP="00884A7E">
            <w:pPr>
              <w:pStyle w:val="NoSpacing"/>
              <w:ind w:left="36"/>
              <w:rPr>
                <w:rFonts w:ascii="Verdana" w:hAnsi="Verdana"/>
                <w:sz w:val="18"/>
                <w:szCs w:val="18"/>
              </w:rPr>
            </w:pPr>
            <w:r>
              <w:rPr>
                <w:rFonts w:ascii="Verdana" w:hAnsi="Verdana"/>
                <w:sz w:val="18"/>
                <w:u w:val="single"/>
              </w:rPr>
              <w:t>Members (3 members)</w:t>
            </w:r>
          </w:p>
          <w:p w14:paraId="1C40431C" w14:textId="78D8ECD8" w:rsidR="00884A7E" w:rsidRPr="007659AA" w:rsidRDefault="00215978" w:rsidP="000676F5">
            <w:pPr>
              <w:pStyle w:val="NoSpacing"/>
              <w:numPr>
                <w:ilvl w:val="0"/>
                <w:numId w:val="2"/>
              </w:numPr>
              <w:rPr>
                <w:rFonts w:ascii="Verdana" w:hAnsi="Verdana"/>
                <w:sz w:val="18"/>
                <w:szCs w:val="18"/>
              </w:rPr>
            </w:pPr>
            <w:r>
              <w:rPr>
                <w:rFonts w:ascii="Verdana" w:hAnsi="Verdana"/>
                <w:sz w:val="18"/>
              </w:rPr>
              <w:t>Non-Executive Member of the Board (to chair)</w:t>
            </w:r>
          </w:p>
          <w:p w14:paraId="718A6405" w14:textId="3A2AA36B" w:rsidR="00215978" w:rsidRPr="007659AA" w:rsidRDefault="00215978" w:rsidP="000676F5">
            <w:pPr>
              <w:pStyle w:val="NoSpacing"/>
              <w:numPr>
                <w:ilvl w:val="0"/>
                <w:numId w:val="2"/>
              </w:numPr>
              <w:rPr>
                <w:rFonts w:ascii="Verdana" w:hAnsi="Verdana"/>
                <w:sz w:val="18"/>
                <w:szCs w:val="18"/>
              </w:rPr>
            </w:pPr>
            <w:r>
              <w:rPr>
                <w:rFonts w:ascii="Verdana" w:hAnsi="Verdana"/>
                <w:sz w:val="18"/>
              </w:rPr>
              <w:t>2 Non-Executive Members</w:t>
            </w:r>
          </w:p>
          <w:p w14:paraId="1248FA6A" w14:textId="77777777" w:rsidR="00A2379C" w:rsidRPr="007659AA" w:rsidRDefault="00A2379C" w:rsidP="00884A7E">
            <w:pPr>
              <w:pStyle w:val="NoSpacing"/>
              <w:ind w:left="36"/>
              <w:rPr>
                <w:rFonts w:ascii="Verdana" w:hAnsi="Verdana"/>
                <w:sz w:val="18"/>
                <w:szCs w:val="18"/>
              </w:rPr>
            </w:pPr>
          </w:p>
          <w:p w14:paraId="2FAED868" w14:textId="002A5B69" w:rsidR="000676F5" w:rsidRPr="007659AA" w:rsidRDefault="00173570" w:rsidP="00884A7E">
            <w:pPr>
              <w:pStyle w:val="NoSpacing"/>
              <w:ind w:left="36"/>
              <w:rPr>
                <w:rFonts w:ascii="Verdana" w:hAnsi="Verdana"/>
                <w:sz w:val="18"/>
                <w:szCs w:val="18"/>
              </w:rPr>
            </w:pPr>
            <w:r>
              <w:rPr>
                <w:rFonts w:ascii="Verdana" w:hAnsi="Verdana"/>
                <w:sz w:val="18"/>
              </w:rPr>
              <w:t>Quorum: 2 members.</w:t>
            </w:r>
          </w:p>
          <w:p w14:paraId="57AD5339" w14:textId="77777777" w:rsidR="000676F5" w:rsidRPr="007659AA" w:rsidRDefault="000676F5" w:rsidP="00884A7E">
            <w:pPr>
              <w:pStyle w:val="NoSpacing"/>
              <w:ind w:left="36"/>
              <w:rPr>
                <w:rFonts w:ascii="Verdana" w:hAnsi="Verdana"/>
                <w:sz w:val="18"/>
                <w:szCs w:val="18"/>
              </w:rPr>
            </w:pPr>
          </w:p>
          <w:p w14:paraId="2057D280" w14:textId="77777777" w:rsidR="00D32481" w:rsidRPr="007659AA" w:rsidRDefault="00104A10" w:rsidP="00EE35D1">
            <w:pPr>
              <w:pStyle w:val="NoSpacing"/>
              <w:ind w:left="36"/>
              <w:rPr>
                <w:rFonts w:ascii="Verdana" w:hAnsi="Verdana"/>
                <w:sz w:val="18"/>
                <w:szCs w:val="18"/>
              </w:rPr>
            </w:pPr>
            <w:r>
              <w:rPr>
                <w:rFonts w:ascii="Verdana" w:hAnsi="Verdana"/>
                <w:sz w:val="18"/>
              </w:rPr>
              <w:t>The members of the Committee are appointed by the Board, in accordance with the above membership.</w:t>
            </w:r>
          </w:p>
          <w:p w14:paraId="1AB2016B" w14:textId="77777777" w:rsidR="00D32481" w:rsidRPr="007659AA" w:rsidRDefault="00D32481" w:rsidP="00EE35D1">
            <w:pPr>
              <w:pStyle w:val="NoSpacing"/>
              <w:ind w:left="36"/>
              <w:rPr>
                <w:rFonts w:ascii="Verdana" w:hAnsi="Verdana"/>
                <w:sz w:val="18"/>
                <w:szCs w:val="18"/>
              </w:rPr>
            </w:pPr>
          </w:p>
          <w:p w14:paraId="5DFB4A11" w14:textId="33E74100" w:rsidR="00A2379C" w:rsidRPr="007659AA" w:rsidRDefault="00CB446E" w:rsidP="00EE35D1">
            <w:pPr>
              <w:pStyle w:val="NoSpacing"/>
              <w:ind w:left="36"/>
              <w:rPr>
                <w:rFonts w:ascii="Verdana" w:hAnsi="Verdana"/>
                <w:sz w:val="18"/>
                <w:szCs w:val="18"/>
              </w:rPr>
            </w:pPr>
            <w:r>
              <w:rPr>
                <w:rFonts w:ascii="Verdana" w:hAnsi="Verdana"/>
                <w:sz w:val="18"/>
              </w:rPr>
              <w:t>Up to one non-executive member who does not serve on the Board may be co-opted where desirable to ensure a suitable balance of skills among members of the Committee.</w:t>
            </w:r>
          </w:p>
          <w:p w14:paraId="3FDAB80F" w14:textId="77777777" w:rsidR="008D02DD" w:rsidRPr="007659AA" w:rsidRDefault="008D02DD" w:rsidP="00EE35D1">
            <w:pPr>
              <w:pStyle w:val="NoSpacing"/>
              <w:ind w:left="36"/>
              <w:rPr>
                <w:rFonts w:ascii="Verdana" w:hAnsi="Verdana"/>
                <w:sz w:val="18"/>
                <w:szCs w:val="18"/>
              </w:rPr>
            </w:pPr>
          </w:p>
          <w:p w14:paraId="2D501BB1" w14:textId="66F11139" w:rsidR="008D02DD" w:rsidRPr="007659AA" w:rsidRDefault="008D02DD" w:rsidP="008D02DD">
            <w:pPr>
              <w:pStyle w:val="NoSpacing"/>
              <w:ind w:left="36"/>
              <w:rPr>
                <w:rFonts w:ascii="Verdana" w:hAnsi="Verdana"/>
                <w:sz w:val="18"/>
                <w:szCs w:val="18"/>
              </w:rPr>
            </w:pPr>
            <w:r>
              <w:rPr>
                <w:rFonts w:ascii="Verdana" w:hAnsi="Verdana"/>
                <w:sz w:val="18"/>
              </w:rPr>
              <w:t>Committee members should not have executive responsibility for the management of S4C.</w:t>
            </w:r>
          </w:p>
          <w:p w14:paraId="2C3AF7D9" w14:textId="77777777" w:rsidR="006D7801" w:rsidRPr="007659AA" w:rsidRDefault="006D7801" w:rsidP="008D02DD">
            <w:pPr>
              <w:pStyle w:val="NoSpacing"/>
              <w:ind w:left="36"/>
              <w:rPr>
                <w:rFonts w:ascii="Verdana" w:hAnsi="Verdana"/>
                <w:sz w:val="18"/>
                <w:szCs w:val="18"/>
              </w:rPr>
            </w:pPr>
          </w:p>
          <w:p w14:paraId="420CF5CB" w14:textId="2377E508" w:rsidR="006D7801" w:rsidRPr="007659AA" w:rsidRDefault="006D7801" w:rsidP="008D02DD">
            <w:pPr>
              <w:pStyle w:val="NoSpacing"/>
              <w:ind w:left="36"/>
              <w:rPr>
                <w:rFonts w:ascii="Verdana" w:hAnsi="Verdana"/>
                <w:sz w:val="18"/>
                <w:szCs w:val="18"/>
              </w:rPr>
            </w:pPr>
            <w:r>
              <w:rPr>
                <w:rFonts w:ascii="Verdana" w:hAnsi="Verdana"/>
                <w:sz w:val="18"/>
              </w:rPr>
              <w:t>The Chair of the Board should not be a member of the Audit and Risk Committee.</w:t>
            </w:r>
          </w:p>
        </w:tc>
        <w:tc>
          <w:tcPr>
            <w:tcW w:w="5097" w:type="dxa"/>
          </w:tcPr>
          <w:p w14:paraId="10CDDFA2" w14:textId="48CB4F67" w:rsidR="00005E63" w:rsidRPr="007659AA" w:rsidRDefault="00F044F8" w:rsidP="00884A7E">
            <w:pPr>
              <w:pStyle w:val="NoSpacing"/>
              <w:ind w:left="-101"/>
              <w:rPr>
                <w:rFonts w:ascii="Verdana" w:hAnsi="Verdana"/>
                <w:sz w:val="18"/>
                <w:szCs w:val="18"/>
              </w:rPr>
            </w:pPr>
            <w:r>
              <w:rPr>
                <w:rFonts w:ascii="Verdana" w:hAnsi="Verdana"/>
                <w:sz w:val="18"/>
                <w:u w:val="single"/>
              </w:rPr>
              <w:t>Non-members</w:t>
            </w:r>
          </w:p>
          <w:p w14:paraId="3E2A26A5" w14:textId="2588328A" w:rsidR="000147A8" w:rsidRDefault="000147A8" w:rsidP="002B10AC">
            <w:pPr>
              <w:pStyle w:val="NoSpacing"/>
              <w:numPr>
                <w:ilvl w:val="0"/>
                <w:numId w:val="2"/>
              </w:numPr>
              <w:rPr>
                <w:rFonts w:ascii="Verdana" w:hAnsi="Verdana"/>
                <w:sz w:val="18"/>
                <w:szCs w:val="18"/>
              </w:rPr>
            </w:pPr>
            <w:r>
              <w:rPr>
                <w:rFonts w:ascii="Verdana" w:hAnsi="Verdana"/>
                <w:sz w:val="18"/>
              </w:rPr>
              <w:t>External Auditors (as appropriate)</w:t>
            </w:r>
          </w:p>
          <w:p w14:paraId="7507ABC0" w14:textId="1963A920" w:rsidR="00902BD8" w:rsidRDefault="00902BD8" w:rsidP="002B10AC">
            <w:pPr>
              <w:pStyle w:val="NoSpacing"/>
              <w:numPr>
                <w:ilvl w:val="0"/>
                <w:numId w:val="2"/>
              </w:numPr>
              <w:rPr>
                <w:rFonts w:ascii="Verdana" w:hAnsi="Verdana"/>
                <w:sz w:val="18"/>
                <w:szCs w:val="18"/>
              </w:rPr>
            </w:pPr>
            <w:r>
              <w:rPr>
                <w:rFonts w:ascii="Verdana" w:hAnsi="Verdana"/>
                <w:sz w:val="18"/>
              </w:rPr>
              <w:t>Internal Auditors (as appropriate)</w:t>
            </w:r>
          </w:p>
          <w:p w14:paraId="729325AF" w14:textId="5774FD66" w:rsidR="00E9665C" w:rsidRPr="007659AA" w:rsidRDefault="00E9665C" w:rsidP="002B10AC">
            <w:pPr>
              <w:pStyle w:val="NoSpacing"/>
              <w:numPr>
                <w:ilvl w:val="0"/>
                <w:numId w:val="2"/>
              </w:numPr>
              <w:rPr>
                <w:rFonts w:ascii="Verdana" w:hAnsi="Verdana"/>
                <w:sz w:val="18"/>
                <w:szCs w:val="18"/>
              </w:rPr>
            </w:pPr>
            <w:r>
              <w:rPr>
                <w:rFonts w:ascii="Verdana" w:hAnsi="Verdana"/>
                <w:sz w:val="18"/>
              </w:rPr>
              <w:t>Chief Executive</w:t>
            </w:r>
          </w:p>
          <w:p w14:paraId="0A727309" w14:textId="2547C3E4" w:rsidR="00E9665C" w:rsidRPr="007659AA" w:rsidRDefault="00E942EA" w:rsidP="002B10AC">
            <w:pPr>
              <w:pStyle w:val="NoSpacing"/>
              <w:numPr>
                <w:ilvl w:val="0"/>
                <w:numId w:val="2"/>
              </w:numPr>
              <w:rPr>
                <w:rFonts w:ascii="Verdana" w:hAnsi="Verdana"/>
                <w:sz w:val="18"/>
                <w:szCs w:val="18"/>
              </w:rPr>
            </w:pPr>
            <w:r>
              <w:rPr>
                <w:rFonts w:ascii="Verdana" w:hAnsi="Verdana"/>
                <w:sz w:val="18"/>
              </w:rPr>
              <w:t>Chief Operating Officer</w:t>
            </w:r>
          </w:p>
          <w:p w14:paraId="39472996" w14:textId="17BC1AC8" w:rsidR="00E942EA" w:rsidRPr="007659AA" w:rsidRDefault="00E942EA" w:rsidP="002B10AC">
            <w:pPr>
              <w:pStyle w:val="NoSpacing"/>
              <w:numPr>
                <w:ilvl w:val="0"/>
                <w:numId w:val="2"/>
              </w:numPr>
              <w:rPr>
                <w:rFonts w:ascii="Verdana" w:hAnsi="Verdana"/>
                <w:sz w:val="18"/>
                <w:szCs w:val="18"/>
              </w:rPr>
            </w:pPr>
            <w:r>
              <w:rPr>
                <w:rFonts w:ascii="Verdana" w:hAnsi="Verdana"/>
                <w:sz w:val="18"/>
              </w:rPr>
              <w:t>Chief Finance Officer</w:t>
            </w:r>
          </w:p>
          <w:p w14:paraId="7AA130BA" w14:textId="0A48D2C0" w:rsidR="00D61205" w:rsidRPr="007659AA" w:rsidRDefault="00D61205" w:rsidP="002B10AC">
            <w:pPr>
              <w:pStyle w:val="NoSpacing"/>
              <w:numPr>
                <w:ilvl w:val="0"/>
                <w:numId w:val="2"/>
              </w:numPr>
              <w:rPr>
                <w:rFonts w:ascii="Verdana" w:hAnsi="Verdana"/>
                <w:sz w:val="18"/>
                <w:szCs w:val="18"/>
              </w:rPr>
            </w:pPr>
            <w:r>
              <w:rPr>
                <w:rFonts w:ascii="Verdana" w:hAnsi="Verdana"/>
                <w:sz w:val="18"/>
              </w:rPr>
              <w:t>Board Secretary</w:t>
            </w:r>
          </w:p>
          <w:p w14:paraId="04560145" w14:textId="18E21044" w:rsidR="00A2379C" w:rsidRPr="007659AA" w:rsidRDefault="00A2379C" w:rsidP="00884A7E">
            <w:pPr>
              <w:pStyle w:val="NoSpacing"/>
              <w:ind w:left="-101"/>
              <w:rPr>
                <w:rFonts w:ascii="Verdana" w:hAnsi="Verdana"/>
                <w:sz w:val="18"/>
                <w:szCs w:val="18"/>
              </w:rPr>
            </w:pPr>
          </w:p>
          <w:p w14:paraId="3F71C9BC" w14:textId="77777777" w:rsidR="00C041E9" w:rsidRPr="007659AA" w:rsidRDefault="00D66B03" w:rsidP="00D32481">
            <w:pPr>
              <w:pStyle w:val="NoSpacing"/>
              <w:ind w:left="-101"/>
              <w:rPr>
                <w:rFonts w:ascii="Verdana" w:hAnsi="Verdana"/>
                <w:sz w:val="18"/>
                <w:szCs w:val="18"/>
              </w:rPr>
            </w:pPr>
            <w:r>
              <w:rPr>
                <w:rFonts w:ascii="Verdana" w:hAnsi="Verdana"/>
                <w:sz w:val="18"/>
              </w:rPr>
              <w:t>At the request of the Secretary, the Chair of the Committee may permit members of staff of S4C and any other person to attend Board meetings as appropriate.</w:t>
            </w:r>
          </w:p>
          <w:p w14:paraId="5A7BF9A9" w14:textId="77777777" w:rsidR="007B6B79" w:rsidRPr="007659AA" w:rsidRDefault="007B6B79" w:rsidP="00D32481">
            <w:pPr>
              <w:pStyle w:val="NoSpacing"/>
              <w:ind w:left="-101"/>
              <w:rPr>
                <w:rFonts w:ascii="Verdana" w:hAnsi="Verdana"/>
                <w:sz w:val="18"/>
                <w:szCs w:val="18"/>
              </w:rPr>
            </w:pPr>
          </w:p>
          <w:p w14:paraId="29546356" w14:textId="4FD13A21" w:rsidR="007B6B79" w:rsidRPr="007659AA" w:rsidRDefault="007B6B79" w:rsidP="007B6B79">
            <w:pPr>
              <w:pStyle w:val="NoSpacing"/>
              <w:ind w:left="-101"/>
              <w:rPr>
                <w:rFonts w:ascii="Verdana" w:hAnsi="Verdana"/>
                <w:sz w:val="18"/>
                <w:szCs w:val="18"/>
              </w:rPr>
            </w:pPr>
            <w:r>
              <w:rPr>
                <w:rFonts w:ascii="Verdana" w:hAnsi="Verdana"/>
                <w:sz w:val="18"/>
              </w:rPr>
              <w:t>At least once a year, members of the Committee meet with the External and Internal Auditors without the presence of S4C’s management, other than the secretariat.</w:t>
            </w:r>
          </w:p>
          <w:p w14:paraId="5F9A4049" w14:textId="77777777" w:rsidR="006C3FC7" w:rsidRPr="007659AA" w:rsidRDefault="006C3FC7" w:rsidP="007B6B79">
            <w:pPr>
              <w:pStyle w:val="NoSpacing"/>
              <w:ind w:left="-101"/>
              <w:rPr>
                <w:rFonts w:ascii="Verdana" w:hAnsi="Verdana"/>
                <w:sz w:val="18"/>
                <w:szCs w:val="18"/>
              </w:rPr>
            </w:pPr>
          </w:p>
          <w:p w14:paraId="1F77FE4B" w14:textId="77777777" w:rsidR="006C3FC7" w:rsidRDefault="006C3FC7" w:rsidP="00384CAB">
            <w:pPr>
              <w:pStyle w:val="NoSpacing"/>
              <w:ind w:left="-101"/>
              <w:rPr>
                <w:rFonts w:ascii="Verdana" w:hAnsi="Verdana"/>
                <w:sz w:val="18"/>
                <w:szCs w:val="18"/>
              </w:rPr>
            </w:pPr>
            <w:r>
              <w:rPr>
                <w:rFonts w:ascii="Verdana" w:hAnsi="Verdana"/>
                <w:sz w:val="18"/>
              </w:rPr>
              <w:t>The Committee has the right, whenever it is satisfied that this is appropriate, to attend a confidential session with the exception of any other participants and observers or all other than the secretariat.</w:t>
            </w:r>
          </w:p>
          <w:p w14:paraId="4F175ECA" w14:textId="77777777" w:rsidR="00C763AD" w:rsidRDefault="00C763AD" w:rsidP="00384CAB">
            <w:pPr>
              <w:pStyle w:val="NoSpacing"/>
              <w:ind w:left="-101"/>
              <w:rPr>
                <w:rFonts w:ascii="Verdana" w:hAnsi="Verdana"/>
                <w:sz w:val="18"/>
                <w:szCs w:val="18"/>
              </w:rPr>
            </w:pPr>
          </w:p>
          <w:p w14:paraId="063E55F3" w14:textId="4EB1A380" w:rsidR="00C763AD" w:rsidRPr="007659AA" w:rsidRDefault="00C763AD" w:rsidP="00384CAB">
            <w:pPr>
              <w:pStyle w:val="NoSpacing"/>
              <w:ind w:left="-101"/>
              <w:rPr>
                <w:rFonts w:ascii="Verdana" w:hAnsi="Verdana"/>
                <w:sz w:val="18"/>
                <w:szCs w:val="18"/>
              </w:rPr>
            </w:pPr>
            <w:r>
              <w:rPr>
                <w:rFonts w:ascii="Verdana" w:hAnsi="Verdana"/>
                <w:sz w:val="18"/>
              </w:rPr>
              <w:t>The External and Internal auditors shall have access (in confidence) to the Chair of the Audit and Risk Committee at any time.</w:t>
            </w:r>
          </w:p>
        </w:tc>
      </w:tr>
    </w:tbl>
    <w:p w14:paraId="11374D29" w14:textId="38BE296B" w:rsidR="00BE274E" w:rsidRPr="00B370DC" w:rsidRDefault="00BE274E" w:rsidP="00D667C0">
      <w:pPr>
        <w:pStyle w:val="NoSpacing"/>
        <w:rPr>
          <w:rFonts w:ascii="Verdana" w:hAnsi="Verdana"/>
          <w:sz w:val="18"/>
          <w:szCs w:val="18"/>
        </w:rPr>
      </w:pPr>
    </w:p>
    <w:p w14:paraId="7247BC9E" w14:textId="77777777" w:rsidR="00310F68" w:rsidRPr="00B370DC" w:rsidRDefault="00310F68" w:rsidP="00D667C0">
      <w:pPr>
        <w:pStyle w:val="NoSpacing"/>
        <w:rPr>
          <w:rFonts w:ascii="Verdana" w:hAnsi="Verdana"/>
          <w:sz w:val="18"/>
          <w:szCs w:val="18"/>
        </w:rPr>
      </w:pPr>
    </w:p>
    <w:p w14:paraId="2409D03C" w14:textId="5CDE1073" w:rsidR="006829B3" w:rsidRPr="00B370DC" w:rsidRDefault="00EB71DD" w:rsidP="00D667C0">
      <w:pPr>
        <w:pStyle w:val="NoSpacing"/>
        <w:rPr>
          <w:rFonts w:ascii="Verdana" w:hAnsi="Verdana"/>
          <w:b/>
          <w:bCs/>
          <w:sz w:val="18"/>
          <w:szCs w:val="18"/>
        </w:rPr>
      </w:pPr>
      <w:r>
        <w:rPr>
          <w:rFonts w:ascii="Verdana" w:hAnsi="Verdana"/>
          <w:b/>
          <w:sz w:val="18"/>
        </w:rPr>
        <w:t>Terms of Reference</w:t>
      </w:r>
    </w:p>
    <w:p w14:paraId="68544021" w14:textId="412C5CF4" w:rsidR="006829B3" w:rsidRPr="00B370DC" w:rsidRDefault="006829B3" w:rsidP="00D667C0">
      <w:pPr>
        <w:pStyle w:val="NoSpacing"/>
        <w:rPr>
          <w:rFonts w:ascii="Verdana" w:hAnsi="Verdana"/>
          <w:sz w:val="18"/>
          <w:szCs w:val="18"/>
        </w:rPr>
      </w:pPr>
    </w:p>
    <w:p w14:paraId="5DF6C804" w14:textId="53E3D0F6" w:rsidR="003F4A11" w:rsidRPr="00B370DC" w:rsidRDefault="003F4A11" w:rsidP="003F4A11">
      <w:pPr>
        <w:pStyle w:val="NoSpacing"/>
        <w:numPr>
          <w:ilvl w:val="0"/>
          <w:numId w:val="3"/>
        </w:numPr>
        <w:rPr>
          <w:rFonts w:ascii="Verdana" w:hAnsi="Verdana"/>
          <w:sz w:val="18"/>
          <w:szCs w:val="18"/>
        </w:rPr>
      </w:pPr>
      <w:r>
        <w:rPr>
          <w:rFonts w:ascii="Verdana" w:hAnsi="Verdana"/>
          <w:sz w:val="18"/>
        </w:rPr>
        <w:t>Scrutinise the following matters, and agree on recommendation(s) to the Board as appropriate:</w:t>
      </w:r>
    </w:p>
    <w:p w14:paraId="4BD1E110" w14:textId="698B5B5A" w:rsidR="004D195C" w:rsidRPr="00B370DC" w:rsidRDefault="004D195C" w:rsidP="004D195C">
      <w:pPr>
        <w:pStyle w:val="NoSpacing"/>
        <w:numPr>
          <w:ilvl w:val="1"/>
          <w:numId w:val="3"/>
        </w:numPr>
        <w:rPr>
          <w:rFonts w:ascii="Verdana" w:hAnsi="Verdana"/>
          <w:sz w:val="18"/>
          <w:szCs w:val="18"/>
        </w:rPr>
      </w:pPr>
      <w:r>
        <w:rPr>
          <w:rFonts w:ascii="Verdana" w:hAnsi="Verdana"/>
          <w:sz w:val="18"/>
        </w:rPr>
        <w:t>The performance of the External auditors</w:t>
      </w:r>
      <w:r w:rsidR="00AF44FC">
        <w:rPr>
          <w:rStyle w:val="FootnoteReference"/>
          <w:rFonts w:ascii="Verdana" w:hAnsi="Verdana"/>
          <w:sz w:val="18"/>
          <w:szCs w:val="18"/>
        </w:rPr>
        <w:footnoteReference w:id="1"/>
      </w:r>
      <w:r>
        <w:rPr>
          <w:rFonts w:ascii="Verdana" w:hAnsi="Verdana"/>
          <w:sz w:val="18"/>
        </w:rPr>
        <w:t>, including any matters affecting their objectivity, and any matters relating to their dismissal (where the Board is involved);</w:t>
      </w:r>
    </w:p>
    <w:p w14:paraId="7359CB77" w14:textId="77777777" w:rsidR="002D7DBF" w:rsidRPr="00B370DC" w:rsidRDefault="002D7DBF" w:rsidP="002D7DBF">
      <w:pPr>
        <w:pStyle w:val="NoSpacing"/>
        <w:numPr>
          <w:ilvl w:val="1"/>
          <w:numId w:val="3"/>
        </w:numPr>
        <w:rPr>
          <w:rFonts w:ascii="Verdana" w:hAnsi="Verdana"/>
          <w:sz w:val="18"/>
          <w:szCs w:val="18"/>
        </w:rPr>
      </w:pPr>
      <w:r>
        <w:rPr>
          <w:rFonts w:ascii="Verdana" w:hAnsi="Verdana"/>
          <w:sz w:val="18"/>
        </w:rPr>
        <w:t>The Governance Statement (to include a statement of members’ responsibilities and the statement of internal control) for the S4C Group Annual Report and Financial Statements;</w:t>
      </w:r>
    </w:p>
    <w:p w14:paraId="0A523B3A" w14:textId="77777777" w:rsidR="00D301B3" w:rsidRDefault="006A4766" w:rsidP="006A4766">
      <w:pPr>
        <w:pStyle w:val="NoSpacing"/>
        <w:numPr>
          <w:ilvl w:val="1"/>
          <w:numId w:val="3"/>
        </w:numPr>
        <w:rPr>
          <w:rFonts w:ascii="Verdana" w:hAnsi="Verdana"/>
          <w:sz w:val="18"/>
          <w:szCs w:val="18"/>
        </w:rPr>
      </w:pPr>
      <w:r>
        <w:rPr>
          <w:rFonts w:ascii="Verdana" w:hAnsi="Verdana"/>
          <w:sz w:val="18"/>
        </w:rPr>
        <w:t>Matters arising from the interim and final external audits of the annual financial statements for the S4C Group, including:</w:t>
      </w:r>
    </w:p>
    <w:p w14:paraId="7D72570F" w14:textId="7F243D4B" w:rsidR="00D301B3" w:rsidRDefault="00F60AA2" w:rsidP="00D301B3">
      <w:pPr>
        <w:pStyle w:val="NoSpacing"/>
        <w:numPr>
          <w:ilvl w:val="2"/>
          <w:numId w:val="3"/>
        </w:numPr>
        <w:rPr>
          <w:rFonts w:ascii="Verdana" w:hAnsi="Verdana"/>
          <w:sz w:val="18"/>
          <w:szCs w:val="18"/>
        </w:rPr>
      </w:pPr>
      <w:r>
        <w:rPr>
          <w:rFonts w:ascii="Verdana" w:hAnsi="Verdana"/>
          <w:sz w:val="18"/>
        </w:rPr>
        <w:t>compliance with accounting standards and the Department for Culture, Media and Sport’s Accounts Direction, and any changes in accounting policies and practices;</w:t>
      </w:r>
    </w:p>
    <w:p w14:paraId="21FA14A7" w14:textId="18CB228C" w:rsidR="00F60AA2" w:rsidRDefault="00F60AA2" w:rsidP="00D301B3">
      <w:pPr>
        <w:pStyle w:val="NoSpacing"/>
        <w:numPr>
          <w:ilvl w:val="2"/>
          <w:numId w:val="3"/>
        </w:numPr>
        <w:rPr>
          <w:rFonts w:ascii="Verdana" w:hAnsi="Verdana"/>
          <w:sz w:val="18"/>
          <w:szCs w:val="18"/>
        </w:rPr>
      </w:pPr>
      <w:r>
        <w:rPr>
          <w:rFonts w:ascii="Verdana" w:hAnsi="Verdana"/>
          <w:sz w:val="18"/>
        </w:rPr>
        <w:t>modifications arising from the audit process;</w:t>
      </w:r>
    </w:p>
    <w:p w14:paraId="43F9075C" w14:textId="4DCD48F3" w:rsidR="00F60AA2" w:rsidRDefault="00F60AA2" w:rsidP="00D301B3">
      <w:pPr>
        <w:pStyle w:val="NoSpacing"/>
        <w:numPr>
          <w:ilvl w:val="2"/>
          <w:numId w:val="3"/>
        </w:numPr>
        <w:rPr>
          <w:rFonts w:ascii="Verdana" w:hAnsi="Verdana"/>
          <w:sz w:val="18"/>
          <w:szCs w:val="18"/>
        </w:rPr>
      </w:pPr>
      <w:r>
        <w:rPr>
          <w:rFonts w:ascii="Verdana" w:hAnsi="Verdana"/>
          <w:sz w:val="18"/>
        </w:rPr>
        <w:t>the operating company assumption;</w:t>
      </w:r>
    </w:p>
    <w:p w14:paraId="5C8A355D" w14:textId="346EF802" w:rsidR="00F60AA2" w:rsidRDefault="00533395" w:rsidP="00D301B3">
      <w:pPr>
        <w:pStyle w:val="NoSpacing"/>
        <w:numPr>
          <w:ilvl w:val="2"/>
          <w:numId w:val="3"/>
        </w:numPr>
        <w:rPr>
          <w:rFonts w:ascii="Verdana" w:hAnsi="Verdana"/>
          <w:sz w:val="18"/>
          <w:szCs w:val="18"/>
        </w:rPr>
      </w:pPr>
      <w:r>
        <w:rPr>
          <w:rFonts w:ascii="Verdana" w:hAnsi="Verdana"/>
          <w:sz w:val="18"/>
        </w:rPr>
        <w:t>the management letter from the External auditors and the content of management responses; and</w:t>
      </w:r>
    </w:p>
    <w:p w14:paraId="3AFBE821" w14:textId="6D051386" w:rsidR="00F60AA2" w:rsidRDefault="00F60AA2" w:rsidP="00F60AA2">
      <w:pPr>
        <w:pStyle w:val="NoSpacing"/>
        <w:numPr>
          <w:ilvl w:val="2"/>
          <w:numId w:val="3"/>
        </w:numPr>
        <w:rPr>
          <w:rFonts w:ascii="Verdana" w:hAnsi="Verdana"/>
          <w:sz w:val="18"/>
          <w:szCs w:val="18"/>
        </w:rPr>
      </w:pPr>
      <w:r>
        <w:rPr>
          <w:rFonts w:ascii="Verdana" w:hAnsi="Verdana"/>
          <w:sz w:val="18"/>
        </w:rPr>
        <w:t>the formal opinion of the External auditors;</w:t>
      </w:r>
    </w:p>
    <w:p w14:paraId="7523B1F8" w14:textId="3D2E0767" w:rsidR="006A4766" w:rsidRPr="00B370DC" w:rsidRDefault="006A4766" w:rsidP="00D301B3">
      <w:pPr>
        <w:pStyle w:val="NoSpacing"/>
        <w:numPr>
          <w:ilvl w:val="2"/>
          <w:numId w:val="3"/>
        </w:numPr>
        <w:rPr>
          <w:rFonts w:ascii="Verdana" w:hAnsi="Verdana"/>
          <w:sz w:val="18"/>
          <w:szCs w:val="18"/>
        </w:rPr>
      </w:pPr>
      <w:r>
        <w:rPr>
          <w:rFonts w:ascii="Verdana" w:hAnsi="Verdana"/>
          <w:sz w:val="18"/>
        </w:rPr>
        <w:t>any other matters which the External auditors may wish to discuss (in the absence of management where necessary);</w:t>
      </w:r>
    </w:p>
    <w:p w14:paraId="2277E81E" w14:textId="0E223D95" w:rsidR="0014451F" w:rsidRPr="00B370DC" w:rsidRDefault="0014451F" w:rsidP="0051797D">
      <w:pPr>
        <w:pStyle w:val="NoSpacing"/>
        <w:numPr>
          <w:ilvl w:val="1"/>
          <w:numId w:val="3"/>
        </w:numPr>
        <w:rPr>
          <w:rFonts w:ascii="Verdana" w:hAnsi="Verdana"/>
          <w:sz w:val="18"/>
          <w:szCs w:val="18"/>
        </w:rPr>
      </w:pPr>
      <w:r>
        <w:rPr>
          <w:rFonts w:ascii="Verdana" w:hAnsi="Verdana"/>
          <w:sz w:val="18"/>
        </w:rPr>
        <w:t>S4C’s annual Modern Slavery statement;</w:t>
      </w:r>
    </w:p>
    <w:p w14:paraId="3F0BE9CE" w14:textId="296993AD" w:rsidR="00A954DF" w:rsidRPr="00B370DC" w:rsidRDefault="00A954DF" w:rsidP="00A954DF">
      <w:pPr>
        <w:pStyle w:val="NoSpacing"/>
        <w:numPr>
          <w:ilvl w:val="1"/>
          <w:numId w:val="3"/>
        </w:numPr>
        <w:rPr>
          <w:rFonts w:ascii="Verdana" w:hAnsi="Verdana"/>
          <w:sz w:val="18"/>
          <w:szCs w:val="18"/>
        </w:rPr>
      </w:pPr>
      <w:r>
        <w:rPr>
          <w:rFonts w:ascii="Verdana" w:hAnsi="Verdana"/>
          <w:sz w:val="18"/>
        </w:rPr>
        <w:t>Significant findings from Internal Audit investigations and management responses; and Internal Audit annual report;</w:t>
      </w:r>
    </w:p>
    <w:p w14:paraId="52532166" w14:textId="41B77046" w:rsidR="00A954DF" w:rsidRPr="00B370DC" w:rsidRDefault="00AA1C94" w:rsidP="00A954DF">
      <w:pPr>
        <w:pStyle w:val="NoSpacing"/>
        <w:numPr>
          <w:ilvl w:val="1"/>
          <w:numId w:val="3"/>
        </w:numPr>
        <w:rPr>
          <w:rFonts w:ascii="Verdana" w:hAnsi="Verdana"/>
          <w:sz w:val="18"/>
          <w:szCs w:val="18"/>
        </w:rPr>
      </w:pPr>
      <w:r>
        <w:rPr>
          <w:rFonts w:ascii="Verdana" w:hAnsi="Verdana"/>
          <w:sz w:val="18"/>
        </w:rPr>
        <w:t>Implementing agreed recommendations based on audits, from whatever source;</w:t>
      </w:r>
    </w:p>
    <w:p w14:paraId="355AFD4E" w14:textId="46868785" w:rsidR="00AA1C94" w:rsidRPr="00B370DC" w:rsidRDefault="00AA1C94" w:rsidP="00A954DF">
      <w:pPr>
        <w:pStyle w:val="NoSpacing"/>
        <w:numPr>
          <w:ilvl w:val="1"/>
          <w:numId w:val="3"/>
        </w:numPr>
        <w:rPr>
          <w:rFonts w:ascii="Verdana" w:hAnsi="Verdana"/>
          <w:sz w:val="18"/>
          <w:szCs w:val="18"/>
        </w:rPr>
      </w:pPr>
      <w:r>
        <w:rPr>
          <w:rFonts w:ascii="Verdana" w:hAnsi="Verdana"/>
          <w:sz w:val="18"/>
        </w:rPr>
        <w:t>Internal risk management arrangements, including the corporate risk register;</w:t>
      </w:r>
    </w:p>
    <w:p w14:paraId="3209DED8" w14:textId="32F16BB3" w:rsidR="00046BA2" w:rsidRPr="00B370DC" w:rsidRDefault="00CD3151" w:rsidP="00A954DF">
      <w:pPr>
        <w:pStyle w:val="NoSpacing"/>
        <w:numPr>
          <w:ilvl w:val="1"/>
          <w:numId w:val="3"/>
        </w:numPr>
        <w:rPr>
          <w:rFonts w:ascii="Verdana" w:hAnsi="Verdana"/>
          <w:sz w:val="18"/>
          <w:szCs w:val="18"/>
        </w:rPr>
      </w:pPr>
      <w:r>
        <w:rPr>
          <w:rFonts w:ascii="Verdana" w:hAnsi="Verdana"/>
          <w:sz w:val="18"/>
        </w:rPr>
        <w:t>S4C’s Risk Audit Statement and Matrix, and their annual review;</w:t>
      </w:r>
    </w:p>
    <w:p w14:paraId="256C161B" w14:textId="01E16325" w:rsidR="00BE7AF6" w:rsidRPr="00B370DC" w:rsidRDefault="00BE7AF6" w:rsidP="00F26DF4">
      <w:pPr>
        <w:pStyle w:val="NoSpacing"/>
        <w:numPr>
          <w:ilvl w:val="1"/>
          <w:numId w:val="3"/>
        </w:numPr>
        <w:rPr>
          <w:rFonts w:ascii="Verdana" w:hAnsi="Verdana"/>
          <w:sz w:val="18"/>
          <w:szCs w:val="18"/>
        </w:rPr>
      </w:pPr>
      <w:r>
        <w:rPr>
          <w:rFonts w:ascii="Verdana" w:hAnsi="Verdana"/>
          <w:sz w:val="18"/>
        </w:rPr>
        <w:lastRenderedPageBreak/>
        <w:t>The arrangements in place to promote value for money;</w:t>
      </w:r>
    </w:p>
    <w:p w14:paraId="4163EA0D" w14:textId="556FCC5E" w:rsidR="000922AC" w:rsidRPr="00902BD8" w:rsidRDefault="00F26DF4" w:rsidP="00F26DF4">
      <w:pPr>
        <w:pStyle w:val="NoSpacing"/>
        <w:numPr>
          <w:ilvl w:val="1"/>
          <w:numId w:val="3"/>
        </w:numPr>
        <w:rPr>
          <w:rFonts w:ascii="Verdana" w:hAnsi="Verdana"/>
          <w:sz w:val="18"/>
          <w:szCs w:val="18"/>
        </w:rPr>
      </w:pPr>
      <w:r>
        <w:rPr>
          <w:rFonts w:ascii="Verdana" w:hAnsi="Verdana"/>
          <w:sz w:val="18"/>
        </w:rPr>
        <w:t>Individual matters relating to standards and principles of public life at the request of the Board, the Chair of the Board, the Lead Non-Executive Member, or the Chair of the Audit and Risk Committee;</w:t>
      </w:r>
    </w:p>
    <w:p w14:paraId="5AE39C58" w14:textId="7990E3F8" w:rsidR="0060368F" w:rsidRPr="00902BD8" w:rsidRDefault="0060368F" w:rsidP="0060368F">
      <w:pPr>
        <w:pStyle w:val="NoSpacing"/>
        <w:numPr>
          <w:ilvl w:val="1"/>
          <w:numId w:val="3"/>
        </w:numPr>
        <w:rPr>
          <w:rFonts w:ascii="Verdana" w:hAnsi="Verdana"/>
          <w:sz w:val="18"/>
          <w:szCs w:val="18"/>
        </w:rPr>
      </w:pPr>
      <w:r>
        <w:rPr>
          <w:rFonts w:ascii="Verdana" w:hAnsi="Verdana"/>
          <w:sz w:val="18"/>
        </w:rPr>
        <w:t>Any amendments to the organisation’s policies on declaration of interests, the prevention of fraud and bribery, maltreatment, and public interest disclosure (‘whistleblowing’);</w:t>
      </w:r>
    </w:p>
    <w:p w14:paraId="2702AEB1" w14:textId="5B4D9A8F" w:rsidR="00DC7F37" w:rsidRPr="00902BD8" w:rsidRDefault="007140C9" w:rsidP="00A543FB">
      <w:pPr>
        <w:pStyle w:val="NoSpacing"/>
        <w:numPr>
          <w:ilvl w:val="1"/>
          <w:numId w:val="3"/>
        </w:numPr>
        <w:rPr>
          <w:rFonts w:ascii="Verdana" w:hAnsi="Verdana"/>
          <w:sz w:val="18"/>
          <w:szCs w:val="18"/>
        </w:rPr>
      </w:pPr>
      <w:r>
        <w:t xml:space="preserve">Amendments to the Committee’s terms of reference </w:t>
      </w:r>
      <w:r w:rsidR="004D4C2E">
        <w:t xml:space="preserve">(usually </w:t>
      </w:r>
      <w:r>
        <w:t>following an annual evaluation of its own performance</w:t>
      </w:r>
      <w:r w:rsidR="004D4C2E">
        <w:t>)</w:t>
      </w:r>
      <w:r>
        <w:t>.</w:t>
      </w:r>
    </w:p>
    <w:p w14:paraId="3DE0955E" w14:textId="2F8E8015" w:rsidR="00643341" w:rsidRPr="00902BD8" w:rsidRDefault="00643341" w:rsidP="00D667C0">
      <w:pPr>
        <w:pStyle w:val="NoSpacing"/>
        <w:rPr>
          <w:rFonts w:ascii="Verdana" w:hAnsi="Verdana"/>
          <w:sz w:val="18"/>
          <w:szCs w:val="18"/>
        </w:rPr>
      </w:pPr>
    </w:p>
    <w:p w14:paraId="01C4C630" w14:textId="6C775F43" w:rsidR="00A667AA" w:rsidRPr="00902BD8" w:rsidRDefault="00AA0CF0" w:rsidP="00A667AA">
      <w:pPr>
        <w:pStyle w:val="NoSpacing"/>
        <w:numPr>
          <w:ilvl w:val="0"/>
          <w:numId w:val="3"/>
        </w:numPr>
        <w:rPr>
          <w:rFonts w:ascii="Verdana" w:hAnsi="Verdana"/>
          <w:sz w:val="18"/>
          <w:szCs w:val="18"/>
        </w:rPr>
      </w:pPr>
      <w:r>
        <w:rPr>
          <w:rFonts w:ascii="Verdana" w:hAnsi="Verdana"/>
          <w:sz w:val="18"/>
        </w:rPr>
        <w:t>To consider the following matters, with the authority to approve on behalf of the Board:</w:t>
      </w:r>
    </w:p>
    <w:p w14:paraId="499CBDA2" w14:textId="788B7BAA" w:rsidR="006D26C8" w:rsidRDefault="006D26C8" w:rsidP="0083634E">
      <w:pPr>
        <w:pStyle w:val="NoSpacing"/>
        <w:numPr>
          <w:ilvl w:val="1"/>
          <w:numId w:val="3"/>
        </w:numPr>
        <w:rPr>
          <w:rFonts w:ascii="Verdana" w:hAnsi="Verdana"/>
          <w:sz w:val="18"/>
          <w:szCs w:val="18"/>
        </w:rPr>
      </w:pPr>
      <w:r>
        <w:rPr>
          <w:rFonts w:ascii="Verdana" w:hAnsi="Verdana"/>
          <w:sz w:val="18"/>
        </w:rPr>
        <w:t>External Auditors’ annual risk assessment, strategy and audit programme;</w:t>
      </w:r>
    </w:p>
    <w:p w14:paraId="74F3DB9A" w14:textId="7E0AA712" w:rsidR="00A667AA" w:rsidRPr="00902BD8" w:rsidRDefault="0083634E" w:rsidP="0083634E">
      <w:pPr>
        <w:pStyle w:val="NoSpacing"/>
        <w:numPr>
          <w:ilvl w:val="1"/>
          <w:numId w:val="3"/>
        </w:numPr>
        <w:rPr>
          <w:rFonts w:ascii="Verdana" w:hAnsi="Verdana"/>
          <w:sz w:val="18"/>
          <w:szCs w:val="18"/>
        </w:rPr>
      </w:pPr>
      <w:r>
        <w:rPr>
          <w:rFonts w:ascii="Verdana" w:hAnsi="Verdana"/>
          <w:sz w:val="18"/>
        </w:rPr>
        <w:t xml:space="preserve">The appointment or reappointment of Internal </w:t>
      </w:r>
      <w:r w:rsidR="004D4C2E">
        <w:rPr>
          <w:rFonts w:ascii="Verdana" w:hAnsi="Verdana"/>
          <w:sz w:val="18"/>
        </w:rPr>
        <w:t>A</w:t>
      </w:r>
      <w:r>
        <w:rPr>
          <w:rFonts w:ascii="Verdana" w:hAnsi="Verdana"/>
          <w:sz w:val="18"/>
        </w:rPr>
        <w:t>uditors, the terms of their appointment, the audit fee, and their ability to provide any non-audit services;</w:t>
      </w:r>
    </w:p>
    <w:p w14:paraId="747B1ED8" w14:textId="56CDED1D" w:rsidR="00FB56AA" w:rsidRPr="00902BD8" w:rsidRDefault="00FB56AA" w:rsidP="00FB56AA">
      <w:pPr>
        <w:pStyle w:val="NoSpacing"/>
        <w:numPr>
          <w:ilvl w:val="1"/>
          <w:numId w:val="3"/>
        </w:numPr>
        <w:rPr>
          <w:rFonts w:ascii="Verdana" w:hAnsi="Verdana"/>
          <w:sz w:val="18"/>
          <w:szCs w:val="18"/>
        </w:rPr>
      </w:pPr>
      <w:r>
        <w:rPr>
          <w:rFonts w:ascii="Verdana" w:hAnsi="Verdana"/>
          <w:sz w:val="18"/>
        </w:rPr>
        <w:t>Internal Audit’s annual audit programme, strategy and risk assessment;</w:t>
      </w:r>
    </w:p>
    <w:p w14:paraId="231CF160" w14:textId="529690F1" w:rsidR="0094320D" w:rsidRPr="00902BD8" w:rsidRDefault="004D195C" w:rsidP="004D195C">
      <w:pPr>
        <w:pStyle w:val="NoSpacing"/>
        <w:numPr>
          <w:ilvl w:val="1"/>
          <w:numId w:val="3"/>
        </w:numPr>
        <w:rPr>
          <w:rFonts w:ascii="Verdana" w:hAnsi="Verdana"/>
          <w:sz w:val="18"/>
          <w:szCs w:val="18"/>
        </w:rPr>
      </w:pPr>
      <w:r>
        <w:rPr>
          <w:rFonts w:ascii="Verdana" w:hAnsi="Verdana"/>
          <w:sz w:val="18"/>
        </w:rPr>
        <w:t>The performance of the Internal Auditors, including any matters affecting their objectivity, and any matters relating to their resignation or dismissal;</w:t>
      </w:r>
    </w:p>
    <w:p w14:paraId="7364B0BF" w14:textId="209FCD87" w:rsidR="00FB56AA" w:rsidRPr="00902BD8" w:rsidRDefault="00FB56AA" w:rsidP="004D195C">
      <w:pPr>
        <w:pStyle w:val="NoSpacing"/>
        <w:numPr>
          <w:ilvl w:val="1"/>
          <w:numId w:val="3"/>
        </w:numPr>
        <w:rPr>
          <w:rFonts w:ascii="Verdana" w:hAnsi="Verdana"/>
          <w:sz w:val="18"/>
          <w:szCs w:val="18"/>
        </w:rPr>
      </w:pPr>
      <w:r>
        <w:rPr>
          <w:rFonts w:ascii="Verdana" w:hAnsi="Verdana"/>
          <w:sz w:val="18"/>
        </w:rPr>
        <w:t>Annual Report on the activities of the Committee, in the name of the Chair of the Committee – for the attention of the Board and Accounting Officer – to be published in S4C’s Annual Report and Financial Statements;</w:t>
      </w:r>
    </w:p>
    <w:p w14:paraId="2D9C686B" w14:textId="5A4DEAF1" w:rsidR="008B7566" w:rsidRPr="00902BD8" w:rsidRDefault="008B7566" w:rsidP="004D195C">
      <w:pPr>
        <w:pStyle w:val="NoSpacing"/>
        <w:numPr>
          <w:ilvl w:val="1"/>
          <w:numId w:val="3"/>
        </w:numPr>
        <w:rPr>
          <w:rFonts w:ascii="Verdana" w:hAnsi="Verdana"/>
          <w:sz w:val="18"/>
          <w:szCs w:val="18"/>
        </w:rPr>
      </w:pPr>
      <w:r>
        <w:rPr>
          <w:rFonts w:ascii="Verdana" w:hAnsi="Verdana"/>
          <w:sz w:val="18"/>
        </w:rPr>
        <w:t>Matters referred to the Audit and Risk Committee, in accordance with the Committee’s role in S4C’s Freedom of Information and / or data protection procedures.</w:t>
      </w:r>
    </w:p>
    <w:p w14:paraId="08D47030" w14:textId="58E08AA6" w:rsidR="00A667AA" w:rsidRPr="00902BD8" w:rsidRDefault="00A667AA" w:rsidP="00D667C0">
      <w:pPr>
        <w:pStyle w:val="NoSpacing"/>
        <w:rPr>
          <w:rFonts w:ascii="Verdana" w:hAnsi="Verdana"/>
          <w:sz w:val="18"/>
          <w:szCs w:val="18"/>
        </w:rPr>
      </w:pPr>
    </w:p>
    <w:p w14:paraId="4A3C9DAE" w14:textId="71FD8C1B" w:rsidR="00A667AA" w:rsidRPr="00902BD8" w:rsidRDefault="00A667AA" w:rsidP="00A667AA">
      <w:pPr>
        <w:pStyle w:val="NoSpacing"/>
        <w:numPr>
          <w:ilvl w:val="0"/>
          <w:numId w:val="3"/>
        </w:numPr>
        <w:rPr>
          <w:rFonts w:ascii="Verdana" w:hAnsi="Verdana"/>
          <w:sz w:val="18"/>
          <w:szCs w:val="18"/>
        </w:rPr>
      </w:pPr>
      <w:r>
        <w:rPr>
          <w:rFonts w:ascii="Verdana" w:hAnsi="Verdana"/>
          <w:sz w:val="18"/>
        </w:rPr>
        <w:t>To receive reports for information on the following matters and advise the Board and/or Chief Executive and Management Team as appropriate:</w:t>
      </w:r>
    </w:p>
    <w:p w14:paraId="29A34575" w14:textId="4B29E42B" w:rsidR="00A43F47" w:rsidRPr="00902BD8" w:rsidRDefault="00A43F47" w:rsidP="00A43F47">
      <w:pPr>
        <w:pStyle w:val="NoSpacing"/>
        <w:numPr>
          <w:ilvl w:val="1"/>
          <w:numId w:val="3"/>
        </w:numPr>
        <w:rPr>
          <w:rFonts w:ascii="Verdana" w:hAnsi="Verdana"/>
          <w:sz w:val="18"/>
          <w:szCs w:val="18"/>
        </w:rPr>
      </w:pPr>
      <w:r>
        <w:rPr>
          <w:rFonts w:ascii="Verdana" w:hAnsi="Verdana"/>
          <w:sz w:val="18"/>
        </w:rPr>
        <w:t>An annual summary of complaints considered in accordance with S4C’s complaints procedures;</w:t>
      </w:r>
    </w:p>
    <w:p w14:paraId="6724A623" w14:textId="1A56B87F" w:rsidR="00B370DC" w:rsidRPr="00902BD8" w:rsidRDefault="00A66279" w:rsidP="00D01D5B">
      <w:pPr>
        <w:pStyle w:val="NoSpacing"/>
        <w:numPr>
          <w:ilvl w:val="1"/>
          <w:numId w:val="3"/>
        </w:numPr>
        <w:rPr>
          <w:rFonts w:ascii="Verdana" w:hAnsi="Verdana"/>
          <w:sz w:val="18"/>
          <w:szCs w:val="18"/>
        </w:rPr>
      </w:pPr>
      <w:r>
        <w:rPr>
          <w:rFonts w:ascii="Verdana" w:hAnsi="Verdana"/>
          <w:sz w:val="18"/>
        </w:rPr>
        <w:t>An annual summary of the issues considered in accordance with S4C’s policies on the prevention of fraud and bribery, malpractice, and public interest disclosure (‘whistleblowing’);</w:t>
      </w:r>
    </w:p>
    <w:p w14:paraId="65968035" w14:textId="25FEA592" w:rsidR="00BD5A0C" w:rsidRPr="00902BD8" w:rsidRDefault="00626410" w:rsidP="00D01D5B">
      <w:pPr>
        <w:pStyle w:val="NoSpacing"/>
        <w:numPr>
          <w:ilvl w:val="1"/>
          <w:numId w:val="3"/>
        </w:numPr>
        <w:rPr>
          <w:rFonts w:ascii="Verdana" w:hAnsi="Verdana"/>
          <w:sz w:val="18"/>
          <w:szCs w:val="18"/>
        </w:rPr>
      </w:pPr>
      <w:r>
        <w:rPr>
          <w:rFonts w:ascii="Verdana" w:hAnsi="Verdana"/>
          <w:sz w:val="18"/>
        </w:rPr>
        <w:t>An annual summary of the issues responded to in accordance with S4C’s data governance policies, including Freedom of Information and the General Data Protection Regulation;</w:t>
      </w:r>
    </w:p>
    <w:p w14:paraId="7E7E5C70" w14:textId="7412BB92" w:rsidR="006A7839" w:rsidRDefault="00BB3550" w:rsidP="006A7839">
      <w:pPr>
        <w:pStyle w:val="NoSpacing"/>
        <w:numPr>
          <w:ilvl w:val="1"/>
          <w:numId w:val="3"/>
        </w:numPr>
        <w:rPr>
          <w:rFonts w:ascii="Verdana" w:hAnsi="Verdana"/>
          <w:sz w:val="18"/>
          <w:szCs w:val="18"/>
        </w:rPr>
      </w:pPr>
      <w:r>
        <w:rPr>
          <w:rFonts w:ascii="Verdana" w:hAnsi="Verdana"/>
          <w:sz w:val="18"/>
        </w:rPr>
        <w:t>Board and Management Team declarations of interests;</w:t>
      </w:r>
    </w:p>
    <w:p w14:paraId="0DB2CEBF" w14:textId="11658C05" w:rsidR="00584540" w:rsidRPr="00902BD8" w:rsidRDefault="00584540" w:rsidP="006A7839">
      <w:pPr>
        <w:pStyle w:val="NoSpacing"/>
        <w:numPr>
          <w:ilvl w:val="1"/>
          <w:numId w:val="3"/>
        </w:numPr>
        <w:rPr>
          <w:rFonts w:ascii="Verdana" w:hAnsi="Verdana"/>
          <w:sz w:val="18"/>
          <w:szCs w:val="18"/>
        </w:rPr>
      </w:pPr>
      <w:r>
        <w:rPr>
          <w:rFonts w:ascii="Verdana" w:hAnsi="Verdana"/>
          <w:sz w:val="18"/>
        </w:rPr>
        <w:t>Any other business referred to the Committee by the Board, the Chair of the Board, or the Chief Executive (as Accounting Officer for S4C).</w:t>
      </w:r>
    </w:p>
    <w:p w14:paraId="3933D866" w14:textId="451BF5EE" w:rsidR="00A667AA" w:rsidRPr="00902BD8" w:rsidRDefault="00A667AA" w:rsidP="00D667C0">
      <w:pPr>
        <w:pStyle w:val="NoSpacing"/>
        <w:rPr>
          <w:rFonts w:ascii="Verdana" w:hAnsi="Verdana"/>
          <w:sz w:val="18"/>
          <w:szCs w:val="18"/>
        </w:rPr>
      </w:pPr>
    </w:p>
    <w:p w14:paraId="5CB6811A" w14:textId="77777777" w:rsidR="00310F68" w:rsidRPr="00902BD8" w:rsidRDefault="00310F68" w:rsidP="00D667C0">
      <w:pPr>
        <w:pStyle w:val="NoSpacing"/>
        <w:rPr>
          <w:rFonts w:ascii="Verdana" w:hAnsi="Verdana"/>
          <w:sz w:val="18"/>
          <w:szCs w:val="18"/>
        </w:rPr>
      </w:pPr>
    </w:p>
    <w:p w14:paraId="77EE0863" w14:textId="237535C6" w:rsidR="00A667AA" w:rsidRPr="00902BD8" w:rsidRDefault="00EE35D1" w:rsidP="00D667C0">
      <w:pPr>
        <w:pStyle w:val="NoSpacing"/>
        <w:rPr>
          <w:rFonts w:ascii="Verdana" w:hAnsi="Verdana"/>
          <w:sz w:val="18"/>
          <w:szCs w:val="18"/>
        </w:rPr>
      </w:pPr>
      <w:r>
        <w:rPr>
          <w:rFonts w:ascii="Verdana" w:hAnsi="Verdana"/>
          <w:b/>
          <w:sz w:val="18"/>
        </w:rPr>
        <w:t>Rights of the Committee</w:t>
      </w:r>
    </w:p>
    <w:p w14:paraId="3F0C9EFC" w14:textId="77777777" w:rsidR="00781E2B" w:rsidRPr="00902BD8" w:rsidRDefault="00781E2B" w:rsidP="00781E2B">
      <w:pPr>
        <w:pStyle w:val="NoSpacing"/>
        <w:rPr>
          <w:rFonts w:ascii="Verdana" w:hAnsi="Verdana"/>
          <w:sz w:val="18"/>
          <w:szCs w:val="18"/>
        </w:rPr>
      </w:pPr>
      <w:r>
        <w:rPr>
          <w:rFonts w:ascii="Verdana" w:hAnsi="Verdana"/>
          <w:sz w:val="18"/>
        </w:rPr>
        <w:t>The Committee may:</w:t>
      </w:r>
    </w:p>
    <w:p w14:paraId="623BFEE3" w14:textId="7724D52F" w:rsidR="00781E2B" w:rsidRPr="00902BD8" w:rsidRDefault="00781E2B" w:rsidP="00FA375A">
      <w:pPr>
        <w:pStyle w:val="NoSpacing"/>
        <w:numPr>
          <w:ilvl w:val="0"/>
          <w:numId w:val="7"/>
        </w:numPr>
        <w:rPr>
          <w:rFonts w:ascii="Verdana" w:hAnsi="Verdana"/>
          <w:sz w:val="18"/>
          <w:szCs w:val="18"/>
        </w:rPr>
      </w:pPr>
      <w:r>
        <w:rPr>
          <w:rFonts w:ascii="Verdana" w:hAnsi="Verdana"/>
          <w:sz w:val="18"/>
        </w:rPr>
        <w:t>investigate any activity within its terms of reference;</w:t>
      </w:r>
    </w:p>
    <w:p w14:paraId="62CF7B2A" w14:textId="0B4BD99C" w:rsidR="00781E2B" w:rsidRPr="0012068E" w:rsidRDefault="00781E2B" w:rsidP="00FA375A">
      <w:pPr>
        <w:pStyle w:val="NoSpacing"/>
        <w:numPr>
          <w:ilvl w:val="0"/>
          <w:numId w:val="7"/>
        </w:numPr>
        <w:rPr>
          <w:rFonts w:ascii="Verdana" w:hAnsi="Verdana"/>
          <w:sz w:val="18"/>
          <w:szCs w:val="18"/>
        </w:rPr>
      </w:pPr>
      <w:r>
        <w:rPr>
          <w:rFonts w:ascii="Verdana" w:hAnsi="Verdana"/>
          <w:sz w:val="18"/>
        </w:rPr>
        <w:t>commission expert advice or research for the Committee as required (via the Secretary); and</w:t>
      </w:r>
    </w:p>
    <w:p w14:paraId="629CA26D" w14:textId="2D96F452" w:rsidR="00EE35D1" w:rsidRPr="0012068E" w:rsidRDefault="00FA375A" w:rsidP="00FA375A">
      <w:pPr>
        <w:pStyle w:val="NoSpacing"/>
        <w:numPr>
          <w:ilvl w:val="0"/>
          <w:numId w:val="7"/>
        </w:numPr>
        <w:rPr>
          <w:rFonts w:ascii="Verdana" w:hAnsi="Verdana"/>
          <w:sz w:val="18"/>
          <w:szCs w:val="18"/>
        </w:rPr>
      </w:pPr>
      <w:r>
        <w:rPr>
          <w:rFonts w:ascii="Verdana" w:hAnsi="Verdana"/>
          <w:sz w:val="18"/>
        </w:rPr>
        <w:t>seek any information required from any member of staff, and all staff are instructed to co-operate with any request made by the Committee.</w:t>
      </w:r>
    </w:p>
    <w:p w14:paraId="6DD4379F" w14:textId="6083B3E3" w:rsidR="00EE35D1" w:rsidRDefault="00EE35D1" w:rsidP="00D667C0">
      <w:pPr>
        <w:pStyle w:val="NoSpacing"/>
        <w:rPr>
          <w:rFonts w:ascii="Verdana" w:hAnsi="Verdana"/>
          <w:sz w:val="18"/>
          <w:szCs w:val="18"/>
        </w:rPr>
      </w:pPr>
    </w:p>
    <w:p w14:paraId="75221EF4" w14:textId="77777777" w:rsidR="003F0ED4" w:rsidRPr="005B1F64" w:rsidRDefault="003F0ED4" w:rsidP="003F0ED4">
      <w:pPr>
        <w:pStyle w:val="NoSpacing"/>
        <w:rPr>
          <w:rFonts w:ascii="Verdana" w:hAnsi="Verdana"/>
          <w:sz w:val="18"/>
          <w:szCs w:val="18"/>
        </w:rPr>
      </w:pPr>
      <w:r w:rsidRPr="004A423D">
        <w:rPr>
          <w:rFonts w:ascii="Verdana" w:hAnsi="Verdana"/>
          <w:sz w:val="18"/>
          <w:szCs w:val="18"/>
        </w:rPr>
        <w:t>Although the Chair may offer guidance and advice on the types of matters that should be formally presented to the Committee, together with the best time to do so, and the nature of the information appropriate to present to the Committee, the Chair cannot take any formal decisions on behalf of the Committee unless the Committee has agreed to delegate the decision to them in advance.</w:t>
      </w:r>
    </w:p>
    <w:p w14:paraId="693A1AC6" w14:textId="77777777" w:rsidR="003F0ED4" w:rsidRPr="0012068E" w:rsidRDefault="003F0ED4" w:rsidP="00D667C0">
      <w:pPr>
        <w:pStyle w:val="NoSpacing"/>
        <w:rPr>
          <w:rFonts w:ascii="Verdana" w:hAnsi="Verdana"/>
          <w:sz w:val="18"/>
          <w:szCs w:val="18"/>
        </w:rPr>
      </w:pPr>
    </w:p>
    <w:p w14:paraId="3798E574" w14:textId="77777777" w:rsidR="00310F68" w:rsidRPr="0058067B" w:rsidRDefault="00310F68" w:rsidP="00D667C0">
      <w:pPr>
        <w:pStyle w:val="NoSpacing"/>
        <w:rPr>
          <w:rFonts w:ascii="Verdana" w:hAnsi="Verdana"/>
          <w:sz w:val="18"/>
          <w:szCs w:val="18"/>
          <w:highlight w:val="cyan"/>
        </w:rPr>
      </w:pPr>
    </w:p>
    <w:p w14:paraId="00B79800" w14:textId="3C6E3821" w:rsidR="00643341" w:rsidRPr="00B07F63" w:rsidRDefault="00643341" w:rsidP="00D667C0">
      <w:pPr>
        <w:pStyle w:val="NoSpacing"/>
        <w:rPr>
          <w:rFonts w:ascii="Verdana" w:hAnsi="Verdana"/>
          <w:sz w:val="18"/>
          <w:szCs w:val="18"/>
        </w:rPr>
      </w:pPr>
      <w:r>
        <w:rPr>
          <w:rFonts w:ascii="Verdana" w:hAnsi="Verdana"/>
          <w:b/>
          <w:sz w:val="18"/>
        </w:rPr>
        <w:t>Meeting Arrangements</w:t>
      </w:r>
    </w:p>
    <w:p w14:paraId="0B8410F7" w14:textId="545BC39A" w:rsidR="00173570" w:rsidRPr="00B07F63" w:rsidRDefault="00134A8E" w:rsidP="00D667C0">
      <w:pPr>
        <w:pStyle w:val="NoSpacing"/>
        <w:rPr>
          <w:rFonts w:ascii="Verdana" w:hAnsi="Verdana"/>
          <w:sz w:val="18"/>
          <w:szCs w:val="18"/>
        </w:rPr>
      </w:pPr>
      <w:r>
        <w:rPr>
          <w:rFonts w:ascii="Verdana" w:hAnsi="Verdana"/>
          <w:sz w:val="18"/>
        </w:rPr>
        <w:t>Meetings are held at least four times a year, and then as required (at the request of the Auditors, Secretary, or Committee Chair).</w:t>
      </w:r>
    </w:p>
    <w:p w14:paraId="71DCDCE5" w14:textId="4113365A" w:rsidR="006724DE" w:rsidRPr="00B07F63" w:rsidRDefault="006724DE" w:rsidP="00D667C0">
      <w:pPr>
        <w:pStyle w:val="NoSpacing"/>
        <w:rPr>
          <w:rFonts w:ascii="Verdana" w:hAnsi="Verdana"/>
          <w:sz w:val="18"/>
          <w:szCs w:val="18"/>
        </w:rPr>
      </w:pPr>
    </w:p>
    <w:p w14:paraId="2FD626FB" w14:textId="77777777" w:rsidR="005D7117" w:rsidRPr="00060FA9" w:rsidRDefault="005D7117" w:rsidP="005D7117">
      <w:pPr>
        <w:pStyle w:val="NoSpacing"/>
        <w:rPr>
          <w:rFonts w:ascii="Verdana" w:hAnsi="Verdana"/>
          <w:sz w:val="18"/>
          <w:szCs w:val="18"/>
        </w:rPr>
      </w:pPr>
      <w:r>
        <w:rPr>
          <w:rFonts w:ascii="Verdana" w:hAnsi="Verdana"/>
          <w:sz w:val="18"/>
        </w:rPr>
        <w:t>The Committee may consider and approve matters through communication outside of formal meetings, provided that a full record of the decision is kept and that any decision taken outside of a formal meeting is reported and recorded in the next formal meeting.</w:t>
      </w:r>
    </w:p>
    <w:p w14:paraId="53CF501C" w14:textId="77777777" w:rsidR="005D7117" w:rsidRDefault="005D7117" w:rsidP="00D667C0">
      <w:pPr>
        <w:pStyle w:val="NoSpacing"/>
        <w:rPr>
          <w:rFonts w:ascii="Verdana" w:hAnsi="Verdana"/>
          <w:sz w:val="18"/>
          <w:szCs w:val="18"/>
        </w:rPr>
      </w:pPr>
    </w:p>
    <w:p w14:paraId="1918E999" w14:textId="7C9DFBBC" w:rsidR="006724DE" w:rsidRDefault="006724DE" w:rsidP="00D667C0">
      <w:pPr>
        <w:pStyle w:val="NoSpacing"/>
        <w:rPr>
          <w:rFonts w:ascii="Verdana" w:hAnsi="Verdana"/>
          <w:sz w:val="18"/>
          <w:szCs w:val="18"/>
        </w:rPr>
      </w:pPr>
      <w:r>
        <w:rPr>
          <w:rFonts w:ascii="Verdana" w:hAnsi="Verdana"/>
          <w:sz w:val="18"/>
        </w:rPr>
        <w:t>Individuals are required to leave the meeting when a conflict of interest arises (the Committee will have the final say in any conflict of interest).</w:t>
      </w:r>
    </w:p>
    <w:p w14:paraId="4DCFC480" w14:textId="36B24D46" w:rsidR="007B6B79" w:rsidRDefault="007B6B79" w:rsidP="00D667C0">
      <w:pPr>
        <w:pStyle w:val="NoSpacing"/>
        <w:rPr>
          <w:rFonts w:ascii="Verdana" w:hAnsi="Verdana"/>
          <w:sz w:val="18"/>
          <w:szCs w:val="18"/>
        </w:rPr>
      </w:pPr>
    </w:p>
    <w:p w14:paraId="4D9FFF3E" w14:textId="31A605E6" w:rsidR="00173570" w:rsidRPr="0012068E" w:rsidRDefault="00A8648C" w:rsidP="00D667C0">
      <w:pPr>
        <w:pStyle w:val="NoSpacing"/>
        <w:rPr>
          <w:rFonts w:ascii="Verdana" w:hAnsi="Verdana"/>
          <w:sz w:val="18"/>
          <w:szCs w:val="18"/>
        </w:rPr>
      </w:pPr>
      <w:r>
        <w:rPr>
          <w:rFonts w:ascii="Verdana" w:hAnsi="Verdana"/>
          <w:sz w:val="18"/>
        </w:rPr>
        <w:t>The Secretary, or other competent person appointed by the Secretary, will record the meeting.</w:t>
      </w:r>
    </w:p>
    <w:p w14:paraId="0B50806B" w14:textId="364C86A6" w:rsidR="00F607A3" w:rsidRPr="0012068E" w:rsidRDefault="00F607A3" w:rsidP="00D667C0">
      <w:pPr>
        <w:pStyle w:val="NoSpacing"/>
        <w:rPr>
          <w:rFonts w:ascii="Verdana" w:hAnsi="Verdana"/>
          <w:sz w:val="18"/>
          <w:szCs w:val="18"/>
        </w:rPr>
      </w:pPr>
    </w:p>
    <w:p w14:paraId="30D64E85" w14:textId="1BDF2C4F" w:rsidR="00F607A3" w:rsidRPr="00584540" w:rsidRDefault="00F607A3" w:rsidP="00D667C0">
      <w:pPr>
        <w:pStyle w:val="NoSpacing"/>
        <w:rPr>
          <w:rFonts w:ascii="Verdana" w:hAnsi="Verdana"/>
          <w:sz w:val="18"/>
          <w:szCs w:val="18"/>
        </w:rPr>
      </w:pPr>
      <w:r>
        <w:rPr>
          <w:rFonts w:ascii="Verdana" w:hAnsi="Verdana"/>
          <w:sz w:val="18"/>
        </w:rPr>
        <w:t>Minutes and / or written reports from the Committee will be submitted to the Board and Accounting Officer for recording or consideration, as appropriate, as soon as possible following the Committee meetings.</w:t>
      </w:r>
    </w:p>
    <w:p w14:paraId="70F73378" w14:textId="567E8891" w:rsidR="008A7966" w:rsidRPr="00584540" w:rsidRDefault="008A7966" w:rsidP="00D667C0">
      <w:pPr>
        <w:pStyle w:val="NoSpacing"/>
        <w:rPr>
          <w:rFonts w:ascii="Verdana" w:hAnsi="Verdana"/>
          <w:sz w:val="18"/>
          <w:szCs w:val="18"/>
        </w:rPr>
      </w:pPr>
    </w:p>
    <w:p w14:paraId="4F49F3D3" w14:textId="62E95770" w:rsidR="008A7966" w:rsidRDefault="008A7966" w:rsidP="008A7966">
      <w:pPr>
        <w:pStyle w:val="NoSpacing"/>
        <w:pBdr>
          <w:top w:val="single" w:sz="4" w:space="1" w:color="auto"/>
          <w:left w:val="single" w:sz="4" w:space="4" w:color="auto"/>
          <w:bottom w:val="single" w:sz="4" w:space="1" w:color="auto"/>
          <w:right w:val="single" w:sz="4" w:space="4" w:color="auto"/>
        </w:pBdr>
        <w:rPr>
          <w:rFonts w:ascii="Verdana" w:hAnsi="Verdana"/>
          <w:sz w:val="18"/>
          <w:szCs w:val="18"/>
        </w:rPr>
      </w:pPr>
      <w:r>
        <w:rPr>
          <w:rFonts w:ascii="Verdana" w:hAnsi="Verdana"/>
          <w:sz w:val="18"/>
        </w:rPr>
        <w:t>Subject to the above provisions, the activities of the Committee shall be governed by, so far as relevant, the Standing Orders of the Board.</w:t>
      </w:r>
    </w:p>
    <w:sectPr w:rsidR="008A7966" w:rsidSect="00D667C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D85C" w14:textId="77777777" w:rsidR="0081132C" w:rsidRDefault="0081132C" w:rsidP="00AF44FC">
      <w:pPr>
        <w:spacing w:after="0" w:line="240" w:lineRule="auto"/>
      </w:pPr>
      <w:r>
        <w:separator/>
      </w:r>
    </w:p>
  </w:endnote>
  <w:endnote w:type="continuationSeparator" w:id="0">
    <w:p w14:paraId="522F6BAD" w14:textId="77777777" w:rsidR="0081132C" w:rsidRDefault="0081132C" w:rsidP="00AF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4494" w14:textId="77777777" w:rsidR="0081132C" w:rsidRDefault="0081132C" w:rsidP="00AF44FC">
      <w:pPr>
        <w:spacing w:after="0" w:line="240" w:lineRule="auto"/>
      </w:pPr>
      <w:r>
        <w:separator/>
      </w:r>
    </w:p>
  </w:footnote>
  <w:footnote w:type="continuationSeparator" w:id="0">
    <w:p w14:paraId="22D23E58" w14:textId="77777777" w:rsidR="0081132C" w:rsidRDefault="0081132C" w:rsidP="00AF44FC">
      <w:pPr>
        <w:spacing w:after="0" w:line="240" w:lineRule="auto"/>
      </w:pPr>
      <w:r>
        <w:continuationSeparator/>
      </w:r>
    </w:p>
  </w:footnote>
  <w:footnote w:id="1">
    <w:p w14:paraId="223C6E14" w14:textId="506AB56F" w:rsidR="00AF44FC" w:rsidRPr="00AF44FC" w:rsidRDefault="00AF44FC">
      <w:pPr>
        <w:pStyle w:val="FootnoteText"/>
        <w:rPr>
          <w:rFonts w:ascii="Verdana" w:hAnsi="Verdana"/>
          <w:sz w:val="14"/>
          <w:szCs w:val="14"/>
        </w:rPr>
      </w:pPr>
      <w:r>
        <w:rPr>
          <w:rStyle w:val="FootnoteReference"/>
          <w:rFonts w:ascii="Verdana" w:hAnsi="Verdana"/>
          <w:sz w:val="14"/>
          <w:szCs w:val="14"/>
        </w:rPr>
        <w:footnoteRef/>
      </w:r>
      <w:r>
        <w:rPr>
          <w:rFonts w:ascii="Verdana" w:hAnsi="Verdana"/>
          <w:sz w:val="14"/>
        </w:rPr>
        <w:t>The National Audit Office is appointed by the Secretary of State to serve as S4C’s External auditors.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0E73"/>
    <w:multiLevelType w:val="hybridMultilevel"/>
    <w:tmpl w:val="6408DBD4"/>
    <w:lvl w:ilvl="0" w:tplc="0452000F">
      <w:start w:val="1"/>
      <w:numFmt w:val="decimal"/>
      <w:lvlText w:val="%1."/>
      <w:lvlJc w:val="left"/>
      <w:pPr>
        <w:ind w:left="360" w:hanging="360"/>
      </w:pPr>
      <w:rPr>
        <w:rFonts w:hint="default"/>
      </w:rPr>
    </w:lvl>
    <w:lvl w:ilvl="1" w:tplc="0452001B">
      <w:start w:val="1"/>
      <w:numFmt w:val="lowerRoman"/>
      <w:lvlText w:val="%2."/>
      <w:lvlJc w:val="right"/>
      <w:pPr>
        <w:ind w:left="1080" w:hanging="360"/>
      </w:pPr>
    </w:lvl>
    <w:lvl w:ilvl="2" w:tplc="04520001">
      <w:start w:val="1"/>
      <w:numFmt w:val="bullet"/>
      <w:lvlText w:val=""/>
      <w:lvlJc w:val="left"/>
      <w:pPr>
        <w:ind w:left="1800" w:hanging="180"/>
      </w:pPr>
      <w:rPr>
        <w:rFonts w:ascii="Symbol" w:hAnsi="Symbol" w:hint="default"/>
      </w:rPr>
    </w:lvl>
    <w:lvl w:ilvl="3" w:tplc="0452000F" w:tentative="1">
      <w:start w:val="1"/>
      <w:numFmt w:val="decimal"/>
      <w:lvlText w:val="%4."/>
      <w:lvlJc w:val="left"/>
      <w:pPr>
        <w:ind w:left="2520" w:hanging="360"/>
      </w:pPr>
    </w:lvl>
    <w:lvl w:ilvl="4" w:tplc="04520019" w:tentative="1">
      <w:start w:val="1"/>
      <w:numFmt w:val="lowerLetter"/>
      <w:lvlText w:val="%5."/>
      <w:lvlJc w:val="left"/>
      <w:pPr>
        <w:ind w:left="3240" w:hanging="360"/>
      </w:pPr>
    </w:lvl>
    <w:lvl w:ilvl="5" w:tplc="0452001B" w:tentative="1">
      <w:start w:val="1"/>
      <w:numFmt w:val="lowerRoman"/>
      <w:lvlText w:val="%6."/>
      <w:lvlJc w:val="right"/>
      <w:pPr>
        <w:ind w:left="3960" w:hanging="180"/>
      </w:pPr>
    </w:lvl>
    <w:lvl w:ilvl="6" w:tplc="0452000F" w:tentative="1">
      <w:start w:val="1"/>
      <w:numFmt w:val="decimal"/>
      <w:lvlText w:val="%7."/>
      <w:lvlJc w:val="left"/>
      <w:pPr>
        <w:ind w:left="4680" w:hanging="360"/>
      </w:pPr>
    </w:lvl>
    <w:lvl w:ilvl="7" w:tplc="04520019" w:tentative="1">
      <w:start w:val="1"/>
      <w:numFmt w:val="lowerLetter"/>
      <w:lvlText w:val="%8."/>
      <w:lvlJc w:val="left"/>
      <w:pPr>
        <w:ind w:left="5400" w:hanging="360"/>
      </w:pPr>
    </w:lvl>
    <w:lvl w:ilvl="8" w:tplc="0452001B" w:tentative="1">
      <w:start w:val="1"/>
      <w:numFmt w:val="lowerRoman"/>
      <w:lvlText w:val="%9."/>
      <w:lvlJc w:val="right"/>
      <w:pPr>
        <w:ind w:left="6120" w:hanging="180"/>
      </w:pPr>
    </w:lvl>
  </w:abstractNum>
  <w:abstractNum w:abstractNumId="1" w15:restartNumberingAfterBreak="0">
    <w:nsid w:val="166A1E48"/>
    <w:multiLevelType w:val="hybridMultilevel"/>
    <w:tmpl w:val="5DEA3EBA"/>
    <w:lvl w:ilvl="0" w:tplc="B7FA8406">
      <w:numFmt w:val="bullet"/>
      <w:lvlText w:val=""/>
      <w:lvlJc w:val="left"/>
      <w:pPr>
        <w:ind w:left="396" w:hanging="360"/>
      </w:pPr>
      <w:rPr>
        <w:rFonts w:ascii="Symbol" w:eastAsiaTheme="minorHAnsi" w:hAnsi="Symbol" w:cstheme="minorBidi" w:hint="default"/>
      </w:rPr>
    </w:lvl>
    <w:lvl w:ilvl="1" w:tplc="04520003" w:tentative="1">
      <w:start w:val="1"/>
      <w:numFmt w:val="bullet"/>
      <w:lvlText w:val="o"/>
      <w:lvlJc w:val="left"/>
      <w:pPr>
        <w:ind w:left="1116" w:hanging="360"/>
      </w:pPr>
      <w:rPr>
        <w:rFonts w:ascii="Courier New" w:hAnsi="Courier New" w:cs="Courier New" w:hint="default"/>
      </w:rPr>
    </w:lvl>
    <w:lvl w:ilvl="2" w:tplc="04520005" w:tentative="1">
      <w:start w:val="1"/>
      <w:numFmt w:val="bullet"/>
      <w:lvlText w:val=""/>
      <w:lvlJc w:val="left"/>
      <w:pPr>
        <w:ind w:left="1836" w:hanging="360"/>
      </w:pPr>
      <w:rPr>
        <w:rFonts w:ascii="Wingdings" w:hAnsi="Wingdings" w:hint="default"/>
      </w:rPr>
    </w:lvl>
    <w:lvl w:ilvl="3" w:tplc="04520001" w:tentative="1">
      <w:start w:val="1"/>
      <w:numFmt w:val="bullet"/>
      <w:lvlText w:val=""/>
      <w:lvlJc w:val="left"/>
      <w:pPr>
        <w:ind w:left="2556" w:hanging="360"/>
      </w:pPr>
      <w:rPr>
        <w:rFonts w:ascii="Symbol" w:hAnsi="Symbol" w:hint="default"/>
      </w:rPr>
    </w:lvl>
    <w:lvl w:ilvl="4" w:tplc="04520003" w:tentative="1">
      <w:start w:val="1"/>
      <w:numFmt w:val="bullet"/>
      <w:lvlText w:val="o"/>
      <w:lvlJc w:val="left"/>
      <w:pPr>
        <w:ind w:left="3276" w:hanging="360"/>
      </w:pPr>
      <w:rPr>
        <w:rFonts w:ascii="Courier New" w:hAnsi="Courier New" w:cs="Courier New" w:hint="default"/>
      </w:rPr>
    </w:lvl>
    <w:lvl w:ilvl="5" w:tplc="04520005" w:tentative="1">
      <w:start w:val="1"/>
      <w:numFmt w:val="bullet"/>
      <w:lvlText w:val=""/>
      <w:lvlJc w:val="left"/>
      <w:pPr>
        <w:ind w:left="3996" w:hanging="360"/>
      </w:pPr>
      <w:rPr>
        <w:rFonts w:ascii="Wingdings" w:hAnsi="Wingdings" w:hint="default"/>
      </w:rPr>
    </w:lvl>
    <w:lvl w:ilvl="6" w:tplc="04520001" w:tentative="1">
      <w:start w:val="1"/>
      <w:numFmt w:val="bullet"/>
      <w:lvlText w:val=""/>
      <w:lvlJc w:val="left"/>
      <w:pPr>
        <w:ind w:left="4716" w:hanging="360"/>
      </w:pPr>
      <w:rPr>
        <w:rFonts w:ascii="Symbol" w:hAnsi="Symbol" w:hint="default"/>
      </w:rPr>
    </w:lvl>
    <w:lvl w:ilvl="7" w:tplc="04520003" w:tentative="1">
      <w:start w:val="1"/>
      <w:numFmt w:val="bullet"/>
      <w:lvlText w:val="o"/>
      <w:lvlJc w:val="left"/>
      <w:pPr>
        <w:ind w:left="5436" w:hanging="360"/>
      </w:pPr>
      <w:rPr>
        <w:rFonts w:ascii="Courier New" w:hAnsi="Courier New" w:cs="Courier New" w:hint="default"/>
      </w:rPr>
    </w:lvl>
    <w:lvl w:ilvl="8" w:tplc="04520005" w:tentative="1">
      <w:start w:val="1"/>
      <w:numFmt w:val="bullet"/>
      <w:lvlText w:val=""/>
      <w:lvlJc w:val="left"/>
      <w:pPr>
        <w:ind w:left="6156" w:hanging="360"/>
      </w:pPr>
      <w:rPr>
        <w:rFonts w:ascii="Wingdings" w:hAnsi="Wingdings" w:hint="default"/>
      </w:rPr>
    </w:lvl>
  </w:abstractNum>
  <w:abstractNum w:abstractNumId="2" w15:restartNumberingAfterBreak="0">
    <w:nsid w:val="36366F18"/>
    <w:multiLevelType w:val="hybridMultilevel"/>
    <w:tmpl w:val="33DE1B08"/>
    <w:lvl w:ilvl="0" w:tplc="A1A6E066">
      <w:numFmt w:val="bullet"/>
      <w:lvlText w:val="•"/>
      <w:lvlJc w:val="left"/>
      <w:pPr>
        <w:ind w:left="1080" w:hanging="720"/>
      </w:pPr>
      <w:rPr>
        <w:rFonts w:ascii="Verdana" w:eastAsiaTheme="minorHAnsi" w:hAnsi="Verdana"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39A7758D"/>
    <w:multiLevelType w:val="hybridMultilevel"/>
    <w:tmpl w:val="EA9A9D7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4" w15:restartNumberingAfterBreak="0">
    <w:nsid w:val="5238749B"/>
    <w:multiLevelType w:val="hybridMultilevel"/>
    <w:tmpl w:val="70D2B028"/>
    <w:lvl w:ilvl="0" w:tplc="04520001">
      <w:start w:val="1"/>
      <w:numFmt w:val="bullet"/>
      <w:lvlText w:val=""/>
      <w:lvlJc w:val="left"/>
      <w:pPr>
        <w:ind w:left="720" w:hanging="72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5" w15:restartNumberingAfterBreak="0">
    <w:nsid w:val="54A87378"/>
    <w:multiLevelType w:val="hybridMultilevel"/>
    <w:tmpl w:val="4BE4D31A"/>
    <w:lvl w:ilvl="0" w:tplc="0452000F">
      <w:start w:val="1"/>
      <w:numFmt w:val="decimal"/>
      <w:lvlText w:val="%1."/>
      <w:lvlJc w:val="left"/>
      <w:pPr>
        <w:ind w:left="720" w:hanging="360"/>
      </w:pPr>
      <w:rPr>
        <w:rFonts w:hint="default"/>
      </w:r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59B95401"/>
    <w:multiLevelType w:val="hybridMultilevel"/>
    <w:tmpl w:val="C5749A90"/>
    <w:lvl w:ilvl="0" w:tplc="B7FA8406">
      <w:numFmt w:val="bullet"/>
      <w:lvlText w:val=""/>
      <w:lvlJc w:val="left"/>
      <w:pPr>
        <w:ind w:left="396" w:hanging="360"/>
      </w:pPr>
      <w:rPr>
        <w:rFonts w:ascii="Symbol" w:eastAsiaTheme="minorHAnsi" w:hAnsi="Symbol" w:cstheme="minorBidi"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292372468">
    <w:abstractNumId w:val="5"/>
  </w:num>
  <w:num w:numId="2" w16cid:durableId="1325547645">
    <w:abstractNumId w:val="1"/>
  </w:num>
  <w:num w:numId="3" w16cid:durableId="1317144058">
    <w:abstractNumId w:val="0"/>
  </w:num>
  <w:num w:numId="4" w16cid:durableId="802162332">
    <w:abstractNumId w:val="6"/>
  </w:num>
  <w:num w:numId="5" w16cid:durableId="979770649">
    <w:abstractNumId w:val="2"/>
  </w:num>
  <w:num w:numId="6" w16cid:durableId="1166282909">
    <w:abstractNumId w:val="4"/>
  </w:num>
  <w:num w:numId="7" w16cid:durableId="178543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C0"/>
    <w:rsid w:val="00005E63"/>
    <w:rsid w:val="000147A8"/>
    <w:rsid w:val="00015B70"/>
    <w:rsid w:val="00020571"/>
    <w:rsid w:val="0003636A"/>
    <w:rsid w:val="00046BA2"/>
    <w:rsid w:val="00061719"/>
    <w:rsid w:val="00064C45"/>
    <w:rsid w:val="000676F5"/>
    <w:rsid w:val="000922AC"/>
    <w:rsid w:val="00104A10"/>
    <w:rsid w:val="00112518"/>
    <w:rsid w:val="0012068E"/>
    <w:rsid w:val="00127C47"/>
    <w:rsid w:val="00134A8E"/>
    <w:rsid w:val="00141883"/>
    <w:rsid w:val="0014451F"/>
    <w:rsid w:val="00144C19"/>
    <w:rsid w:val="001641BE"/>
    <w:rsid w:val="00173570"/>
    <w:rsid w:val="00174FA9"/>
    <w:rsid w:val="001F54FE"/>
    <w:rsid w:val="00215978"/>
    <w:rsid w:val="00241C08"/>
    <w:rsid w:val="00252583"/>
    <w:rsid w:val="00252DE8"/>
    <w:rsid w:val="00282577"/>
    <w:rsid w:val="002965A1"/>
    <w:rsid w:val="002B10AC"/>
    <w:rsid w:val="002D7DBF"/>
    <w:rsid w:val="002F72AC"/>
    <w:rsid w:val="00310F68"/>
    <w:rsid w:val="00314980"/>
    <w:rsid w:val="00333D01"/>
    <w:rsid w:val="00345264"/>
    <w:rsid w:val="00363D2C"/>
    <w:rsid w:val="0038022A"/>
    <w:rsid w:val="003844D1"/>
    <w:rsid w:val="00384CAB"/>
    <w:rsid w:val="003910FD"/>
    <w:rsid w:val="0039250C"/>
    <w:rsid w:val="00396828"/>
    <w:rsid w:val="003A2D2C"/>
    <w:rsid w:val="003A6F6B"/>
    <w:rsid w:val="003E4CB0"/>
    <w:rsid w:val="003E7322"/>
    <w:rsid w:val="003E7BC5"/>
    <w:rsid w:val="003F0ED4"/>
    <w:rsid w:val="003F4A11"/>
    <w:rsid w:val="00422E9C"/>
    <w:rsid w:val="004351AB"/>
    <w:rsid w:val="00453F01"/>
    <w:rsid w:val="0047206A"/>
    <w:rsid w:val="00480E36"/>
    <w:rsid w:val="00491895"/>
    <w:rsid w:val="004C7BD4"/>
    <w:rsid w:val="004D195C"/>
    <w:rsid w:val="004D4C2E"/>
    <w:rsid w:val="004F3832"/>
    <w:rsid w:val="004F6A92"/>
    <w:rsid w:val="0051797D"/>
    <w:rsid w:val="00533395"/>
    <w:rsid w:val="00575745"/>
    <w:rsid w:val="0058067B"/>
    <w:rsid w:val="00584540"/>
    <w:rsid w:val="005B69B7"/>
    <w:rsid w:val="005B6E7E"/>
    <w:rsid w:val="005D452F"/>
    <w:rsid w:val="005D7117"/>
    <w:rsid w:val="005F060D"/>
    <w:rsid w:val="0060368F"/>
    <w:rsid w:val="006056E6"/>
    <w:rsid w:val="0062118A"/>
    <w:rsid w:val="00626410"/>
    <w:rsid w:val="0062744C"/>
    <w:rsid w:val="00643341"/>
    <w:rsid w:val="006724DE"/>
    <w:rsid w:val="006829B3"/>
    <w:rsid w:val="00690CF8"/>
    <w:rsid w:val="006A4766"/>
    <w:rsid w:val="006A5A43"/>
    <w:rsid w:val="006A7839"/>
    <w:rsid w:val="006C3FC7"/>
    <w:rsid w:val="006D26C8"/>
    <w:rsid w:val="006D7801"/>
    <w:rsid w:val="006F23DA"/>
    <w:rsid w:val="007140C9"/>
    <w:rsid w:val="007173CE"/>
    <w:rsid w:val="007659AA"/>
    <w:rsid w:val="00775FA4"/>
    <w:rsid w:val="00781E2B"/>
    <w:rsid w:val="007A4247"/>
    <w:rsid w:val="007B6B79"/>
    <w:rsid w:val="007E1F6F"/>
    <w:rsid w:val="007E21EA"/>
    <w:rsid w:val="007E2394"/>
    <w:rsid w:val="007F335E"/>
    <w:rsid w:val="0081132C"/>
    <w:rsid w:val="0082229D"/>
    <w:rsid w:val="0083634E"/>
    <w:rsid w:val="00851130"/>
    <w:rsid w:val="00884A7E"/>
    <w:rsid w:val="00891F4C"/>
    <w:rsid w:val="008A7966"/>
    <w:rsid w:val="008B7566"/>
    <w:rsid w:val="008C42B7"/>
    <w:rsid w:val="008C5D0A"/>
    <w:rsid w:val="008D02DD"/>
    <w:rsid w:val="00902BD8"/>
    <w:rsid w:val="00906082"/>
    <w:rsid w:val="00920139"/>
    <w:rsid w:val="00922C67"/>
    <w:rsid w:val="00931B24"/>
    <w:rsid w:val="0094320D"/>
    <w:rsid w:val="00962D93"/>
    <w:rsid w:val="0097254E"/>
    <w:rsid w:val="00980AC2"/>
    <w:rsid w:val="009B1E18"/>
    <w:rsid w:val="00A2379C"/>
    <w:rsid w:val="00A43F47"/>
    <w:rsid w:val="00A46D86"/>
    <w:rsid w:val="00A543FB"/>
    <w:rsid w:val="00A66279"/>
    <w:rsid w:val="00A667AA"/>
    <w:rsid w:val="00A71FFC"/>
    <w:rsid w:val="00A8648C"/>
    <w:rsid w:val="00A954DF"/>
    <w:rsid w:val="00AA0CF0"/>
    <w:rsid w:val="00AA1C94"/>
    <w:rsid w:val="00AB00FE"/>
    <w:rsid w:val="00AB534B"/>
    <w:rsid w:val="00AC2F74"/>
    <w:rsid w:val="00AC686B"/>
    <w:rsid w:val="00AF44FC"/>
    <w:rsid w:val="00AF501F"/>
    <w:rsid w:val="00B07F63"/>
    <w:rsid w:val="00B370DC"/>
    <w:rsid w:val="00B74586"/>
    <w:rsid w:val="00B82570"/>
    <w:rsid w:val="00BB315F"/>
    <w:rsid w:val="00BB3550"/>
    <w:rsid w:val="00BC6F67"/>
    <w:rsid w:val="00BD5A0C"/>
    <w:rsid w:val="00BE274E"/>
    <w:rsid w:val="00BE7AF6"/>
    <w:rsid w:val="00C00181"/>
    <w:rsid w:val="00C01CD0"/>
    <w:rsid w:val="00C041E9"/>
    <w:rsid w:val="00C07882"/>
    <w:rsid w:val="00C254D2"/>
    <w:rsid w:val="00C32034"/>
    <w:rsid w:val="00C413ED"/>
    <w:rsid w:val="00C62AA4"/>
    <w:rsid w:val="00C65FCB"/>
    <w:rsid w:val="00C763AD"/>
    <w:rsid w:val="00C96949"/>
    <w:rsid w:val="00C96ACA"/>
    <w:rsid w:val="00CA250B"/>
    <w:rsid w:val="00CB2992"/>
    <w:rsid w:val="00CB446E"/>
    <w:rsid w:val="00CD3151"/>
    <w:rsid w:val="00D01D5B"/>
    <w:rsid w:val="00D10F53"/>
    <w:rsid w:val="00D16A10"/>
    <w:rsid w:val="00D203A1"/>
    <w:rsid w:val="00D301B3"/>
    <w:rsid w:val="00D32481"/>
    <w:rsid w:val="00D61205"/>
    <w:rsid w:val="00D66111"/>
    <w:rsid w:val="00D667C0"/>
    <w:rsid w:val="00D66B03"/>
    <w:rsid w:val="00DA1A7E"/>
    <w:rsid w:val="00DA5233"/>
    <w:rsid w:val="00DA5861"/>
    <w:rsid w:val="00DC7F37"/>
    <w:rsid w:val="00DE2BBD"/>
    <w:rsid w:val="00DE55F1"/>
    <w:rsid w:val="00DE66DE"/>
    <w:rsid w:val="00E16E05"/>
    <w:rsid w:val="00E249CD"/>
    <w:rsid w:val="00E942EA"/>
    <w:rsid w:val="00E9665C"/>
    <w:rsid w:val="00EA1192"/>
    <w:rsid w:val="00EB71DD"/>
    <w:rsid w:val="00EE35D1"/>
    <w:rsid w:val="00EE4FD2"/>
    <w:rsid w:val="00EF344A"/>
    <w:rsid w:val="00F044F8"/>
    <w:rsid w:val="00F16822"/>
    <w:rsid w:val="00F26DF4"/>
    <w:rsid w:val="00F4232E"/>
    <w:rsid w:val="00F5116A"/>
    <w:rsid w:val="00F607A3"/>
    <w:rsid w:val="00F60AA2"/>
    <w:rsid w:val="00F84BB2"/>
    <w:rsid w:val="00FA375A"/>
    <w:rsid w:val="00FB5512"/>
    <w:rsid w:val="00FB56AA"/>
    <w:rsid w:val="00FD214F"/>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5D11"/>
  <w15:chartTrackingRefBased/>
  <w15:docId w15:val="{3E535D63-FA82-44B6-AF7D-B10BA672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7C0"/>
    <w:pPr>
      <w:spacing w:after="0" w:line="240" w:lineRule="auto"/>
    </w:pPr>
  </w:style>
  <w:style w:type="paragraph" w:styleId="BalloonText">
    <w:name w:val="Balloon Text"/>
    <w:basedOn w:val="Normal"/>
    <w:link w:val="BalloonTextChar"/>
    <w:uiPriority w:val="99"/>
    <w:semiHidden/>
    <w:unhideWhenUsed/>
    <w:rsid w:val="001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1BE"/>
    <w:rPr>
      <w:rFonts w:ascii="Segoe UI" w:hAnsi="Segoe UI" w:cs="Segoe UI"/>
      <w:sz w:val="18"/>
      <w:szCs w:val="18"/>
    </w:rPr>
  </w:style>
  <w:style w:type="paragraph" w:styleId="ListParagraph">
    <w:name w:val="List Paragraph"/>
    <w:basedOn w:val="Normal"/>
    <w:uiPriority w:val="34"/>
    <w:qFormat/>
    <w:rsid w:val="001641BE"/>
    <w:pPr>
      <w:ind w:left="720"/>
      <w:contextualSpacing/>
    </w:pPr>
  </w:style>
  <w:style w:type="table" w:styleId="TableGrid">
    <w:name w:val="Table Grid"/>
    <w:basedOn w:val="TableNormal"/>
    <w:uiPriority w:val="39"/>
    <w:rsid w:val="00005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CD0"/>
    <w:rPr>
      <w:sz w:val="16"/>
      <w:szCs w:val="16"/>
    </w:rPr>
  </w:style>
  <w:style w:type="paragraph" w:styleId="CommentText">
    <w:name w:val="annotation text"/>
    <w:basedOn w:val="Normal"/>
    <w:link w:val="CommentTextChar"/>
    <w:uiPriority w:val="99"/>
    <w:semiHidden/>
    <w:unhideWhenUsed/>
    <w:rsid w:val="00C01CD0"/>
    <w:pPr>
      <w:spacing w:line="240" w:lineRule="auto"/>
    </w:pPr>
    <w:rPr>
      <w:sz w:val="20"/>
      <w:szCs w:val="20"/>
    </w:rPr>
  </w:style>
  <w:style w:type="character" w:customStyle="1" w:styleId="CommentTextChar">
    <w:name w:val="Comment Text Char"/>
    <w:basedOn w:val="DefaultParagraphFont"/>
    <w:link w:val="CommentText"/>
    <w:uiPriority w:val="99"/>
    <w:semiHidden/>
    <w:rsid w:val="00C01CD0"/>
    <w:rPr>
      <w:sz w:val="20"/>
      <w:szCs w:val="20"/>
    </w:rPr>
  </w:style>
  <w:style w:type="paragraph" w:styleId="CommentSubject">
    <w:name w:val="annotation subject"/>
    <w:basedOn w:val="CommentText"/>
    <w:next w:val="CommentText"/>
    <w:link w:val="CommentSubjectChar"/>
    <w:uiPriority w:val="99"/>
    <w:semiHidden/>
    <w:unhideWhenUsed/>
    <w:rsid w:val="00C01CD0"/>
    <w:rPr>
      <w:b/>
      <w:bCs/>
    </w:rPr>
  </w:style>
  <w:style w:type="character" w:customStyle="1" w:styleId="CommentSubjectChar">
    <w:name w:val="Comment Subject Char"/>
    <w:basedOn w:val="CommentTextChar"/>
    <w:link w:val="CommentSubject"/>
    <w:uiPriority w:val="99"/>
    <w:semiHidden/>
    <w:rsid w:val="00C01CD0"/>
    <w:rPr>
      <w:b/>
      <w:bCs/>
      <w:sz w:val="20"/>
      <w:szCs w:val="20"/>
    </w:rPr>
  </w:style>
  <w:style w:type="paragraph" w:styleId="FootnoteText">
    <w:name w:val="footnote text"/>
    <w:basedOn w:val="Normal"/>
    <w:link w:val="FootnoteTextChar"/>
    <w:uiPriority w:val="99"/>
    <w:semiHidden/>
    <w:unhideWhenUsed/>
    <w:rsid w:val="00AF44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4FC"/>
    <w:rPr>
      <w:sz w:val="20"/>
      <w:szCs w:val="20"/>
    </w:rPr>
  </w:style>
  <w:style w:type="character" w:styleId="FootnoteReference">
    <w:name w:val="footnote reference"/>
    <w:basedOn w:val="DefaultParagraphFont"/>
    <w:uiPriority w:val="99"/>
    <w:semiHidden/>
    <w:unhideWhenUsed/>
    <w:rsid w:val="00AF4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08A2DB4C4C774BA7318E87B598D1B2" ma:contentTypeVersion="15" ma:contentTypeDescription="Create a new document." ma:contentTypeScope="" ma:versionID="f7734d6646ead7b61a6dcab7cc087e9d">
  <xsd:schema xmlns:xsd="http://www.w3.org/2001/XMLSchema" xmlns:xs="http://www.w3.org/2001/XMLSchema" xmlns:p="http://schemas.microsoft.com/office/2006/metadata/properties" xmlns:ns2="6a413f35-34ee-416c-92d2-65290fe41293" xmlns:ns3="c8f635ee-0991-4bb6-8008-0ac83f9a10a7" targetNamespace="http://schemas.microsoft.com/office/2006/metadata/properties" ma:root="true" ma:fieldsID="ae712be759f6850d32919343dfead6b0" ns2:_="" ns3:_="">
    <xsd:import namespace="6a413f35-34ee-416c-92d2-65290fe41293"/>
    <xsd:import namespace="c8f635ee-0991-4bb6-8008-0ac83f9a10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Location"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13f35-34ee-416c-92d2-65290fe41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a4360-04d9-4667-be95-b97e4a7e4ae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35ee-0991-4bb6-8008-0ac83f9a10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b74f01-a5f6-42f2-947f-66f7f26407ce}" ma:internalName="TaxCatchAll" ma:showField="CatchAllData" ma:web="c8f635ee-0991-4bb6-8008-0ac83f9a10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f635ee-0991-4bb6-8008-0ac83f9a10a7" xsi:nil="true"/>
    <lcf76f155ced4ddcb4097134ff3c332f xmlns="6a413f35-34ee-416c-92d2-65290fe412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F5C3A7-C6CF-4777-9C80-84DC902D3DE7}">
  <ds:schemaRefs>
    <ds:schemaRef ds:uri="http://schemas.microsoft.com/sharepoint/v3/contenttype/forms"/>
  </ds:schemaRefs>
</ds:datastoreItem>
</file>

<file path=customXml/itemProps2.xml><?xml version="1.0" encoding="utf-8"?>
<ds:datastoreItem xmlns:ds="http://schemas.openxmlformats.org/officeDocument/2006/customXml" ds:itemID="{0082305F-C967-4546-B9D6-0C08686AED86}">
  <ds:schemaRefs>
    <ds:schemaRef ds:uri="http://schemas.openxmlformats.org/officeDocument/2006/bibliography"/>
  </ds:schemaRefs>
</ds:datastoreItem>
</file>

<file path=customXml/itemProps3.xml><?xml version="1.0" encoding="utf-8"?>
<ds:datastoreItem xmlns:ds="http://schemas.openxmlformats.org/officeDocument/2006/customXml" ds:itemID="{225AE7E8-F204-47E8-BA25-29F8F7F30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13f35-34ee-416c-92d2-65290fe41293"/>
    <ds:schemaRef ds:uri="c8f635ee-0991-4bb6-8008-0ac83f9a1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96EC0-30D4-41E9-8CA8-EA18B7D1A083}">
  <ds:schemaRefs>
    <ds:schemaRef ds:uri="http://schemas.microsoft.com/office/2006/metadata/properties"/>
    <ds:schemaRef ds:uri="http://schemas.microsoft.com/office/infopath/2007/PartnerControls"/>
    <ds:schemaRef ds:uri="c8f635ee-0991-4bb6-8008-0ac83f9a10a7"/>
    <ds:schemaRef ds:uri="6a413f35-34ee-416c-92d2-65290fe412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Geraint Pugh - S4C</dc:creator>
  <cp:keywords/>
  <dc:description/>
  <cp:lastModifiedBy>Geraint Pugh - S4C</cp:lastModifiedBy>
  <cp:revision>5</cp:revision>
  <dcterms:created xsi:type="dcterms:W3CDTF">2022-03-29T12:29:00Z</dcterms:created>
  <dcterms:modified xsi:type="dcterms:W3CDTF">2024-04-26T14:28:00Z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0x010100E908A2DB4C4C774BA7318E87B598D1B2</vt:lpwstr>
  </property>
</Properties>
</file>