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7E5D" w14:textId="78A34A50" w:rsidR="00D667C0" w:rsidRPr="00DE55F1" w:rsidRDefault="00D667C0" w:rsidP="00D667C0">
      <w:pPr>
        <w:pStyle w:val="NoSpacing"/>
        <w:rPr>
          <w:rFonts w:ascii="Verdana" w:hAnsi="Verdana"/>
          <w:sz w:val="24"/>
          <w:szCs w:val="24"/>
        </w:rPr>
      </w:pPr>
      <w:r>
        <w:rPr>
          <w:noProof/>
          <w:sz w:val="28"/>
          <w:szCs w:val="28"/>
          <w:lang w:eastAsia="en-GB"/>
        </w:rPr>
        <w:drawing>
          <wp:anchor distT="0" distB="0" distL="114300" distR="114300" simplePos="0" relativeHeight="251659264" behindDoc="0" locked="0" layoutInCell="1" allowOverlap="1" wp14:anchorId="705F9D3F" wp14:editId="1F20627D">
            <wp:simplePos x="0" y="0"/>
            <wp:positionH relativeFrom="margin">
              <wp:align>left</wp:align>
            </wp:positionH>
            <wp:positionV relativeFrom="margin">
              <wp:align>top</wp:align>
            </wp:positionV>
            <wp:extent cx="594995" cy="500380"/>
            <wp:effectExtent l="0" t="0" r="0" b="0"/>
            <wp:wrapSquare wrapText="bothSides"/>
            <wp:docPr id="32" name="Llun 9" descr="S4C_Black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9" descr="S4C_Black Templ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299" cy="5476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rPr>
        <w:t>Terms of reference</w:t>
      </w:r>
    </w:p>
    <w:p w14:paraId="16729925" w14:textId="0969585E" w:rsidR="00D667C0" w:rsidRPr="00DE55F1" w:rsidRDefault="00DE55F1" w:rsidP="00D667C0">
      <w:pPr>
        <w:pStyle w:val="NoSpacing"/>
        <w:rPr>
          <w:rFonts w:ascii="Verdana" w:hAnsi="Verdana"/>
          <w:b/>
          <w:bCs/>
          <w:sz w:val="24"/>
          <w:szCs w:val="24"/>
        </w:rPr>
      </w:pPr>
      <w:r>
        <w:rPr>
          <w:rFonts w:ascii="Verdana" w:hAnsi="Verdana"/>
          <w:b/>
          <w:sz w:val="24"/>
        </w:rPr>
        <w:t>Communications Committee</w:t>
      </w:r>
    </w:p>
    <w:p w14:paraId="4569CE5F" w14:textId="39159767" w:rsidR="00D667C0" w:rsidRPr="000C06B6" w:rsidRDefault="00DE55F1" w:rsidP="00D667C0">
      <w:pPr>
        <w:pStyle w:val="NoSpacing"/>
        <w:rPr>
          <w:rFonts w:ascii="Verdana" w:hAnsi="Verdana"/>
          <w:sz w:val="18"/>
          <w:szCs w:val="18"/>
        </w:rPr>
      </w:pPr>
      <w:r>
        <w:rPr>
          <w:rFonts w:ascii="Verdana" w:hAnsi="Verdana"/>
          <w:sz w:val="18"/>
        </w:rPr>
        <w:t xml:space="preserve">Approved: </w:t>
      </w:r>
      <w:r w:rsidR="00FF4452">
        <w:rPr>
          <w:rFonts w:ascii="Verdana" w:hAnsi="Verdana"/>
          <w:sz w:val="18"/>
        </w:rPr>
        <w:t>March 202</w:t>
      </w:r>
      <w:r w:rsidR="00734E75">
        <w:rPr>
          <w:rFonts w:ascii="Verdana" w:hAnsi="Verdana"/>
          <w:sz w:val="18"/>
        </w:rPr>
        <w:t>4</w:t>
      </w:r>
      <w:r w:rsidR="00FF4452">
        <w:rPr>
          <w:rFonts w:ascii="Verdana" w:hAnsi="Verdana"/>
          <w:sz w:val="18"/>
        </w:rPr>
        <w:t xml:space="preserve"> </w:t>
      </w:r>
      <w:r>
        <w:rPr>
          <w:rFonts w:ascii="Verdana" w:hAnsi="Verdana"/>
          <w:sz w:val="18"/>
        </w:rPr>
        <w:t xml:space="preserve">(Reviewed: </w:t>
      </w:r>
      <w:r w:rsidR="00734E75">
        <w:rPr>
          <w:rFonts w:ascii="Verdana" w:hAnsi="Verdana"/>
          <w:sz w:val="18"/>
        </w:rPr>
        <w:t>March 2024</w:t>
      </w:r>
      <w:r>
        <w:rPr>
          <w:rFonts w:ascii="Verdana" w:hAnsi="Verdana"/>
          <w:sz w:val="18"/>
        </w:rPr>
        <w:t xml:space="preserve">; Next review: </w:t>
      </w:r>
      <w:r w:rsidR="00734E75">
        <w:rPr>
          <w:rFonts w:ascii="Verdana" w:hAnsi="Verdana"/>
          <w:sz w:val="18"/>
        </w:rPr>
        <w:t>March 2026</w:t>
      </w:r>
      <w:r>
        <w:rPr>
          <w:rFonts w:ascii="Verdana" w:hAnsi="Verdana"/>
          <w:sz w:val="18"/>
        </w:rPr>
        <w:t>)</w:t>
      </w:r>
    </w:p>
    <w:p w14:paraId="071EF99E" w14:textId="1AB40EF7" w:rsidR="00D667C0" w:rsidRDefault="00D667C0" w:rsidP="00D667C0">
      <w:pPr>
        <w:pStyle w:val="NoSpacing"/>
        <w:rPr>
          <w:rFonts w:ascii="Verdana" w:hAnsi="Verdana"/>
          <w:sz w:val="18"/>
          <w:szCs w:val="18"/>
        </w:rPr>
      </w:pPr>
    </w:p>
    <w:p w14:paraId="08AEE470" w14:textId="6BC8F6BB" w:rsidR="006829B3" w:rsidRPr="00963752" w:rsidRDefault="006829B3" w:rsidP="00D667C0">
      <w:pPr>
        <w:pStyle w:val="NoSpacing"/>
        <w:rPr>
          <w:rFonts w:ascii="Verdana" w:hAnsi="Verdana"/>
          <w:sz w:val="18"/>
          <w:szCs w:val="18"/>
        </w:rPr>
      </w:pPr>
      <w:r>
        <w:rPr>
          <w:rFonts w:ascii="Verdana" w:hAnsi="Verdana"/>
          <w:b/>
          <w:sz w:val="18"/>
        </w:rPr>
        <w:t>Purpose</w:t>
      </w:r>
    </w:p>
    <w:p w14:paraId="5798A1E3" w14:textId="512F9EBD" w:rsidR="009B1E18" w:rsidRPr="00963752" w:rsidRDefault="009B1E18" w:rsidP="009B1E18">
      <w:pPr>
        <w:pStyle w:val="NoSpacing"/>
        <w:rPr>
          <w:rFonts w:ascii="Verdana" w:hAnsi="Verdana"/>
          <w:sz w:val="18"/>
          <w:szCs w:val="18"/>
        </w:rPr>
      </w:pPr>
      <w:r>
        <w:rPr>
          <w:rFonts w:ascii="Verdana" w:hAnsi="Verdana"/>
          <w:sz w:val="18"/>
        </w:rPr>
        <w:t>The Communications Committee is responsible for overseeing the strategy and performance of S4C’s corporate communications and marketing activities on behalf of the Unitary Board.</w:t>
      </w:r>
    </w:p>
    <w:p w14:paraId="56FA088C" w14:textId="3A91FFEF" w:rsidR="00005E63" w:rsidRPr="00963752" w:rsidRDefault="00005E63" w:rsidP="00D667C0">
      <w:pPr>
        <w:pStyle w:val="NoSpacing"/>
        <w:rPr>
          <w:rFonts w:ascii="Verdana" w:hAnsi="Verdana"/>
          <w:sz w:val="18"/>
          <w:szCs w:val="18"/>
        </w:rPr>
      </w:pPr>
    </w:p>
    <w:p w14:paraId="0E14383D" w14:textId="77777777" w:rsidR="00310F68" w:rsidRPr="00EC6699" w:rsidRDefault="00310F68" w:rsidP="00D667C0">
      <w:pPr>
        <w:pStyle w:val="NoSpacing"/>
        <w:rPr>
          <w:rFonts w:ascii="Verdana" w:hAnsi="Verdana"/>
          <w:sz w:val="18"/>
          <w:szCs w:val="18"/>
        </w:rPr>
      </w:pPr>
    </w:p>
    <w:p w14:paraId="4B7EF65B" w14:textId="0D84D208" w:rsidR="006829B3" w:rsidRPr="00EC6699" w:rsidRDefault="005B69B7" w:rsidP="00D667C0">
      <w:pPr>
        <w:pStyle w:val="NoSpacing"/>
        <w:rPr>
          <w:rFonts w:ascii="Verdana" w:hAnsi="Verdana"/>
          <w:b/>
          <w:bCs/>
          <w:sz w:val="18"/>
          <w:szCs w:val="18"/>
        </w:rPr>
      </w:pPr>
      <w:r>
        <w:rPr>
          <w:rFonts w:ascii="Verdana" w:hAnsi="Verdana"/>
          <w:b/>
          <w:sz w:val="18"/>
        </w:rPr>
        <w:t>Membership and Other Attendance</w:t>
      </w:r>
    </w:p>
    <w:p w14:paraId="3B7A3421" w14:textId="77777777" w:rsidR="00BE274E" w:rsidRPr="00EC6699" w:rsidRDefault="00BE274E" w:rsidP="00D667C0">
      <w:pPr>
        <w:pStyle w:val="NoSpacing"/>
        <w:rPr>
          <w:rFonts w:ascii="Verdana" w:hAnsi="Verdana"/>
          <w:b/>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05E63" w:rsidRPr="00EC6699" w14:paraId="2073FFA8" w14:textId="77777777" w:rsidTr="00884A7E">
        <w:tc>
          <w:tcPr>
            <w:tcW w:w="5097" w:type="dxa"/>
          </w:tcPr>
          <w:p w14:paraId="313495D8" w14:textId="37EFC322" w:rsidR="00005E63" w:rsidRPr="00EC6699" w:rsidRDefault="00005E63" w:rsidP="00884A7E">
            <w:pPr>
              <w:pStyle w:val="NoSpacing"/>
              <w:ind w:left="36"/>
              <w:rPr>
                <w:rFonts w:ascii="Verdana" w:hAnsi="Verdana"/>
                <w:sz w:val="18"/>
                <w:szCs w:val="18"/>
              </w:rPr>
            </w:pPr>
            <w:r>
              <w:rPr>
                <w:rFonts w:ascii="Verdana" w:hAnsi="Verdana"/>
                <w:sz w:val="18"/>
                <w:u w:val="single"/>
              </w:rPr>
              <w:t>Members (5 members)</w:t>
            </w:r>
          </w:p>
          <w:p w14:paraId="1C40431C" w14:textId="58065A21" w:rsidR="00884A7E" w:rsidRPr="00EC6699" w:rsidRDefault="00215978" w:rsidP="000676F5">
            <w:pPr>
              <w:pStyle w:val="NoSpacing"/>
              <w:numPr>
                <w:ilvl w:val="0"/>
                <w:numId w:val="2"/>
              </w:numPr>
              <w:rPr>
                <w:rFonts w:ascii="Verdana" w:hAnsi="Verdana"/>
                <w:sz w:val="18"/>
                <w:szCs w:val="18"/>
              </w:rPr>
            </w:pPr>
            <w:r>
              <w:rPr>
                <w:rFonts w:ascii="Verdana" w:hAnsi="Verdana"/>
                <w:sz w:val="18"/>
              </w:rPr>
              <w:t>Non-Executive Member of the Board (to chair)</w:t>
            </w:r>
          </w:p>
          <w:p w14:paraId="718A6405" w14:textId="3A2AA36B" w:rsidR="00215978" w:rsidRPr="00EC6699" w:rsidRDefault="00215978" w:rsidP="000676F5">
            <w:pPr>
              <w:pStyle w:val="NoSpacing"/>
              <w:numPr>
                <w:ilvl w:val="0"/>
                <w:numId w:val="2"/>
              </w:numPr>
              <w:rPr>
                <w:rFonts w:ascii="Verdana" w:hAnsi="Verdana"/>
                <w:sz w:val="18"/>
                <w:szCs w:val="18"/>
              </w:rPr>
            </w:pPr>
            <w:r>
              <w:rPr>
                <w:rFonts w:ascii="Verdana" w:hAnsi="Verdana"/>
                <w:sz w:val="18"/>
              </w:rPr>
              <w:t>2 Non-Executive Members</w:t>
            </w:r>
          </w:p>
          <w:p w14:paraId="10CC06AE" w14:textId="3C0F463B" w:rsidR="00F5116A" w:rsidRPr="00EC6699" w:rsidRDefault="00F5116A" w:rsidP="000676F5">
            <w:pPr>
              <w:pStyle w:val="NoSpacing"/>
              <w:numPr>
                <w:ilvl w:val="0"/>
                <w:numId w:val="2"/>
              </w:numPr>
              <w:rPr>
                <w:rFonts w:ascii="Verdana" w:hAnsi="Verdana"/>
                <w:sz w:val="18"/>
                <w:szCs w:val="18"/>
              </w:rPr>
            </w:pPr>
            <w:r>
              <w:rPr>
                <w:rFonts w:ascii="Verdana" w:hAnsi="Verdana"/>
                <w:sz w:val="18"/>
              </w:rPr>
              <w:t>Chief Executive</w:t>
            </w:r>
          </w:p>
          <w:p w14:paraId="310622A5" w14:textId="59FBE438" w:rsidR="00F5116A" w:rsidRPr="00EC6699" w:rsidRDefault="00F5116A" w:rsidP="000676F5">
            <w:pPr>
              <w:pStyle w:val="NoSpacing"/>
              <w:numPr>
                <w:ilvl w:val="0"/>
                <w:numId w:val="2"/>
              </w:numPr>
              <w:rPr>
                <w:rFonts w:ascii="Verdana" w:hAnsi="Verdana"/>
                <w:sz w:val="18"/>
                <w:szCs w:val="18"/>
              </w:rPr>
            </w:pPr>
            <w:r>
              <w:rPr>
                <w:rFonts w:ascii="Verdana" w:hAnsi="Verdana"/>
                <w:sz w:val="18"/>
              </w:rPr>
              <w:t>Chief Content Officer</w:t>
            </w:r>
          </w:p>
          <w:p w14:paraId="1248FA6A" w14:textId="77777777" w:rsidR="00A2379C" w:rsidRPr="00EC6699" w:rsidRDefault="00A2379C" w:rsidP="00884A7E">
            <w:pPr>
              <w:pStyle w:val="NoSpacing"/>
              <w:ind w:left="36"/>
              <w:rPr>
                <w:rFonts w:ascii="Verdana" w:hAnsi="Verdana"/>
                <w:sz w:val="18"/>
                <w:szCs w:val="18"/>
              </w:rPr>
            </w:pPr>
          </w:p>
          <w:p w14:paraId="2FAED868" w14:textId="7D9405ED" w:rsidR="000676F5" w:rsidRPr="00EC6699" w:rsidRDefault="00173570" w:rsidP="00884A7E">
            <w:pPr>
              <w:pStyle w:val="NoSpacing"/>
              <w:ind w:left="36"/>
              <w:rPr>
                <w:rFonts w:ascii="Verdana" w:hAnsi="Verdana"/>
                <w:sz w:val="18"/>
                <w:szCs w:val="18"/>
              </w:rPr>
            </w:pPr>
            <w:r>
              <w:rPr>
                <w:rFonts w:ascii="Verdana" w:hAnsi="Verdana"/>
                <w:sz w:val="18"/>
              </w:rPr>
              <w:t>Quorum: 3 members, with at least two Non-Executive Members present.</w:t>
            </w:r>
          </w:p>
          <w:p w14:paraId="57AD5339" w14:textId="77777777" w:rsidR="000676F5" w:rsidRPr="00EC6699" w:rsidRDefault="000676F5" w:rsidP="00884A7E">
            <w:pPr>
              <w:pStyle w:val="NoSpacing"/>
              <w:ind w:left="36"/>
              <w:rPr>
                <w:rFonts w:ascii="Verdana" w:hAnsi="Verdana"/>
                <w:sz w:val="18"/>
                <w:szCs w:val="18"/>
              </w:rPr>
            </w:pPr>
          </w:p>
          <w:p w14:paraId="2057D280" w14:textId="77777777" w:rsidR="00D32481" w:rsidRPr="00EC6699" w:rsidRDefault="00104A10" w:rsidP="00EE35D1">
            <w:pPr>
              <w:pStyle w:val="NoSpacing"/>
              <w:ind w:left="36"/>
              <w:rPr>
                <w:rFonts w:ascii="Verdana" w:hAnsi="Verdana"/>
                <w:sz w:val="18"/>
                <w:szCs w:val="18"/>
              </w:rPr>
            </w:pPr>
            <w:r>
              <w:rPr>
                <w:rFonts w:ascii="Verdana" w:hAnsi="Verdana"/>
                <w:sz w:val="18"/>
              </w:rPr>
              <w:t>The members of the Committee are appointed by the Board, in accordance with the above membership.</w:t>
            </w:r>
          </w:p>
          <w:p w14:paraId="1AB2016B" w14:textId="77777777" w:rsidR="00D32481" w:rsidRPr="00EC6699" w:rsidRDefault="00D32481" w:rsidP="00EE35D1">
            <w:pPr>
              <w:pStyle w:val="NoSpacing"/>
              <w:ind w:left="36"/>
              <w:rPr>
                <w:rFonts w:ascii="Verdana" w:hAnsi="Verdana"/>
                <w:sz w:val="18"/>
                <w:szCs w:val="18"/>
              </w:rPr>
            </w:pPr>
          </w:p>
          <w:p w14:paraId="420CF5CB" w14:textId="64332F7F" w:rsidR="00A2379C" w:rsidRPr="00EC6699" w:rsidRDefault="00CB446E" w:rsidP="00EE35D1">
            <w:pPr>
              <w:pStyle w:val="NoSpacing"/>
              <w:ind w:left="36"/>
              <w:rPr>
                <w:rFonts w:ascii="Verdana" w:hAnsi="Verdana"/>
                <w:sz w:val="18"/>
                <w:szCs w:val="18"/>
              </w:rPr>
            </w:pPr>
            <w:r>
              <w:rPr>
                <w:rFonts w:ascii="Verdana" w:hAnsi="Verdana"/>
                <w:sz w:val="18"/>
              </w:rPr>
              <w:t>Non-executive members who do not serve on the Board may be co-opted where desirable to ensure a suitable skills balance amongst members of the Committee.</w:t>
            </w:r>
          </w:p>
        </w:tc>
        <w:tc>
          <w:tcPr>
            <w:tcW w:w="5097" w:type="dxa"/>
          </w:tcPr>
          <w:p w14:paraId="10CDDFA2" w14:textId="062D3D83" w:rsidR="00005E63" w:rsidRPr="00EC6699" w:rsidRDefault="00254AAF" w:rsidP="00884A7E">
            <w:pPr>
              <w:pStyle w:val="NoSpacing"/>
              <w:ind w:left="-101"/>
              <w:rPr>
                <w:rFonts w:ascii="Verdana" w:hAnsi="Verdana"/>
                <w:sz w:val="18"/>
                <w:szCs w:val="18"/>
              </w:rPr>
            </w:pPr>
            <w:r>
              <w:rPr>
                <w:rFonts w:ascii="Verdana" w:hAnsi="Verdana"/>
                <w:sz w:val="18"/>
                <w:u w:val="single"/>
              </w:rPr>
              <w:t>Non-members</w:t>
            </w:r>
          </w:p>
          <w:p w14:paraId="65C9B3F7" w14:textId="382A22C1" w:rsidR="00706791" w:rsidRPr="00734E75" w:rsidRDefault="006B65A2" w:rsidP="002B10AC">
            <w:pPr>
              <w:pStyle w:val="NoSpacing"/>
              <w:numPr>
                <w:ilvl w:val="0"/>
                <w:numId w:val="2"/>
              </w:numPr>
              <w:rPr>
                <w:rFonts w:ascii="Verdana" w:hAnsi="Verdana"/>
                <w:sz w:val="18"/>
                <w:szCs w:val="18"/>
              </w:rPr>
            </w:pPr>
            <w:r>
              <w:rPr>
                <w:rFonts w:ascii="Verdana" w:hAnsi="Verdana"/>
                <w:sz w:val="18"/>
              </w:rPr>
              <w:t>Director of Communications and Marketing</w:t>
            </w:r>
          </w:p>
          <w:p w14:paraId="1106BC25" w14:textId="2ABDAE15" w:rsidR="00734E75" w:rsidRDefault="00734E75" w:rsidP="002B10AC">
            <w:pPr>
              <w:pStyle w:val="NoSpacing"/>
              <w:numPr>
                <w:ilvl w:val="0"/>
                <w:numId w:val="2"/>
              </w:numPr>
              <w:rPr>
                <w:rFonts w:ascii="Verdana" w:hAnsi="Verdana"/>
                <w:sz w:val="18"/>
                <w:szCs w:val="18"/>
              </w:rPr>
            </w:pPr>
            <w:r>
              <w:rPr>
                <w:rFonts w:ascii="Verdana" w:hAnsi="Verdana"/>
                <w:sz w:val="18"/>
                <w:szCs w:val="18"/>
              </w:rPr>
              <w:t>Communications Team Leader</w:t>
            </w:r>
          </w:p>
          <w:p w14:paraId="37AB0B1B" w14:textId="5C358188" w:rsidR="00734E75" w:rsidRPr="00EC6699" w:rsidRDefault="00734E75" w:rsidP="002B10AC">
            <w:pPr>
              <w:pStyle w:val="NoSpacing"/>
              <w:numPr>
                <w:ilvl w:val="0"/>
                <w:numId w:val="2"/>
              </w:numPr>
              <w:rPr>
                <w:rFonts w:ascii="Verdana" w:hAnsi="Verdana"/>
                <w:sz w:val="18"/>
                <w:szCs w:val="18"/>
              </w:rPr>
            </w:pPr>
            <w:r>
              <w:rPr>
                <w:rFonts w:ascii="Verdana" w:hAnsi="Verdana"/>
                <w:sz w:val="18"/>
                <w:szCs w:val="18"/>
              </w:rPr>
              <w:t>Head of Marketing</w:t>
            </w:r>
          </w:p>
          <w:p w14:paraId="7AA130BA" w14:textId="0A48D2C0" w:rsidR="00D61205" w:rsidRPr="00EC6699" w:rsidRDefault="00D61205" w:rsidP="002B10AC">
            <w:pPr>
              <w:pStyle w:val="NoSpacing"/>
              <w:numPr>
                <w:ilvl w:val="0"/>
                <w:numId w:val="2"/>
              </w:numPr>
              <w:rPr>
                <w:rFonts w:ascii="Verdana" w:hAnsi="Verdana"/>
                <w:sz w:val="18"/>
                <w:szCs w:val="18"/>
              </w:rPr>
            </w:pPr>
            <w:r>
              <w:rPr>
                <w:rFonts w:ascii="Verdana" w:hAnsi="Verdana"/>
                <w:sz w:val="18"/>
              </w:rPr>
              <w:t>Board Secretary</w:t>
            </w:r>
          </w:p>
          <w:p w14:paraId="04560145" w14:textId="18E21044" w:rsidR="00A2379C" w:rsidRPr="00EC6699" w:rsidRDefault="00A2379C" w:rsidP="00884A7E">
            <w:pPr>
              <w:pStyle w:val="NoSpacing"/>
              <w:ind w:left="-101"/>
              <w:rPr>
                <w:rFonts w:ascii="Verdana" w:hAnsi="Verdana"/>
                <w:sz w:val="18"/>
                <w:szCs w:val="18"/>
              </w:rPr>
            </w:pPr>
          </w:p>
          <w:p w14:paraId="38ABA71E" w14:textId="107E9C53" w:rsidR="001D73FD" w:rsidRPr="00EC6699" w:rsidRDefault="001D73FD" w:rsidP="00D32481">
            <w:pPr>
              <w:pStyle w:val="NoSpacing"/>
              <w:ind w:left="-101"/>
              <w:rPr>
                <w:rFonts w:ascii="Verdana" w:hAnsi="Verdana"/>
                <w:sz w:val="18"/>
                <w:szCs w:val="18"/>
              </w:rPr>
            </w:pPr>
            <w:r>
              <w:rPr>
                <w:rFonts w:ascii="Verdana" w:hAnsi="Verdana"/>
                <w:sz w:val="18"/>
              </w:rPr>
              <w:t>The Chair of the Board may attend meetings of the Committee where he or she has not been appointed by the Board. In such circumstances, they will not be regarded as a member of the Committee in meeting the quorum, nor will they have a vote.</w:t>
            </w:r>
          </w:p>
          <w:p w14:paraId="540D6D0C" w14:textId="77777777" w:rsidR="001D73FD" w:rsidRPr="00EC6699" w:rsidRDefault="001D73FD" w:rsidP="00D32481">
            <w:pPr>
              <w:pStyle w:val="NoSpacing"/>
              <w:ind w:left="-101"/>
              <w:rPr>
                <w:rFonts w:ascii="Verdana" w:hAnsi="Verdana"/>
                <w:sz w:val="18"/>
                <w:szCs w:val="18"/>
              </w:rPr>
            </w:pPr>
          </w:p>
          <w:p w14:paraId="063E55F3" w14:textId="2C36F979" w:rsidR="00C041E9" w:rsidRPr="00EC6699" w:rsidRDefault="00D66B03" w:rsidP="00D32481">
            <w:pPr>
              <w:pStyle w:val="NoSpacing"/>
              <w:ind w:left="-101"/>
              <w:rPr>
                <w:rFonts w:ascii="Verdana" w:hAnsi="Verdana"/>
                <w:sz w:val="18"/>
                <w:szCs w:val="18"/>
              </w:rPr>
            </w:pPr>
            <w:r>
              <w:rPr>
                <w:rFonts w:ascii="Verdana" w:hAnsi="Verdana"/>
                <w:sz w:val="18"/>
              </w:rPr>
              <w:t>At the request of the Secretary, the Chair of the Committee may permit members of staff of S4C and any other person to attend Board meetings as appropriate.</w:t>
            </w:r>
          </w:p>
        </w:tc>
      </w:tr>
    </w:tbl>
    <w:p w14:paraId="11374D29" w14:textId="38BE296B" w:rsidR="00BE274E" w:rsidRPr="00EC6699" w:rsidRDefault="00BE274E" w:rsidP="00D667C0">
      <w:pPr>
        <w:pStyle w:val="NoSpacing"/>
        <w:rPr>
          <w:rFonts w:ascii="Verdana" w:hAnsi="Verdana"/>
          <w:sz w:val="18"/>
          <w:szCs w:val="18"/>
        </w:rPr>
      </w:pPr>
    </w:p>
    <w:p w14:paraId="7247BC9E" w14:textId="77777777" w:rsidR="00310F68" w:rsidRPr="00EC6699" w:rsidRDefault="00310F68" w:rsidP="00D667C0">
      <w:pPr>
        <w:pStyle w:val="NoSpacing"/>
        <w:rPr>
          <w:rFonts w:ascii="Verdana" w:hAnsi="Verdana"/>
          <w:sz w:val="18"/>
          <w:szCs w:val="18"/>
        </w:rPr>
      </w:pPr>
    </w:p>
    <w:p w14:paraId="2409D03C" w14:textId="5CDE1073" w:rsidR="006829B3" w:rsidRPr="00EC6699" w:rsidRDefault="00EB71DD" w:rsidP="00D667C0">
      <w:pPr>
        <w:pStyle w:val="NoSpacing"/>
        <w:rPr>
          <w:rFonts w:ascii="Verdana" w:hAnsi="Verdana"/>
          <w:b/>
          <w:bCs/>
          <w:sz w:val="18"/>
          <w:szCs w:val="18"/>
        </w:rPr>
      </w:pPr>
      <w:r>
        <w:rPr>
          <w:rFonts w:ascii="Verdana" w:hAnsi="Verdana"/>
          <w:b/>
          <w:sz w:val="18"/>
        </w:rPr>
        <w:t>Terms of Reference</w:t>
      </w:r>
    </w:p>
    <w:p w14:paraId="68544021" w14:textId="412C5CF4" w:rsidR="006829B3" w:rsidRPr="00EC6699" w:rsidRDefault="006829B3" w:rsidP="00D667C0">
      <w:pPr>
        <w:pStyle w:val="NoSpacing"/>
        <w:rPr>
          <w:rFonts w:ascii="Verdana" w:hAnsi="Verdana"/>
          <w:sz w:val="18"/>
          <w:szCs w:val="18"/>
        </w:rPr>
      </w:pPr>
    </w:p>
    <w:p w14:paraId="5DF6C804" w14:textId="53E3D0F6" w:rsidR="003F4A11" w:rsidRPr="00EC6699" w:rsidRDefault="003F4A11" w:rsidP="003F4A11">
      <w:pPr>
        <w:pStyle w:val="NoSpacing"/>
        <w:numPr>
          <w:ilvl w:val="0"/>
          <w:numId w:val="3"/>
        </w:numPr>
        <w:rPr>
          <w:rFonts w:ascii="Verdana" w:hAnsi="Verdana"/>
          <w:sz w:val="18"/>
          <w:szCs w:val="18"/>
        </w:rPr>
      </w:pPr>
      <w:r>
        <w:rPr>
          <w:rFonts w:ascii="Verdana" w:hAnsi="Verdana"/>
          <w:sz w:val="18"/>
        </w:rPr>
        <w:t>Scrutinise the following matters, and agree on recommendation(s) to the Board as appropriate:</w:t>
      </w:r>
    </w:p>
    <w:p w14:paraId="6B9DC9A9" w14:textId="0D046AB9" w:rsidR="00C00181" w:rsidRPr="00EC6699" w:rsidRDefault="00C00181" w:rsidP="003F4A11">
      <w:pPr>
        <w:pStyle w:val="NoSpacing"/>
        <w:numPr>
          <w:ilvl w:val="1"/>
          <w:numId w:val="3"/>
        </w:numPr>
        <w:rPr>
          <w:rFonts w:ascii="Verdana" w:hAnsi="Verdana"/>
          <w:sz w:val="18"/>
          <w:szCs w:val="18"/>
        </w:rPr>
      </w:pPr>
      <w:r>
        <w:rPr>
          <w:rFonts w:ascii="Verdana" w:hAnsi="Verdana"/>
          <w:sz w:val="18"/>
        </w:rPr>
        <w:t>The development of S4C’s communications and marketing strategies and the relevant measures, and the review of the strategies as necessary;</w:t>
      </w:r>
    </w:p>
    <w:p w14:paraId="2702AEB1" w14:textId="6A1824A7" w:rsidR="00DC7F37" w:rsidRPr="00EC6699" w:rsidRDefault="00CA2058" w:rsidP="00A543FB">
      <w:pPr>
        <w:pStyle w:val="NoSpacing"/>
        <w:numPr>
          <w:ilvl w:val="1"/>
          <w:numId w:val="3"/>
        </w:numPr>
        <w:rPr>
          <w:rFonts w:ascii="Verdana" w:hAnsi="Verdana"/>
          <w:sz w:val="18"/>
          <w:szCs w:val="18"/>
        </w:rPr>
      </w:pPr>
      <w:r>
        <w:t xml:space="preserve">Amendments to the Committee’s terms of reference </w:t>
      </w:r>
      <w:r w:rsidR="00734E75">
        <w:t xml:space="preserve">(usually </w:t>
      </w:r>
      <w:r>
        <w:t>following an annual evaluation of its own performance</w:t>
      </w:r>
      <w:r w:rsidR="00734E75">
        <w:t>)</w:t>
      </w:r>
      <w:r>
        <w:t>.</w:t>
      </w:r>
    </w:p>
    <w:p w14:paraId="3DE0955E" w14:textId="2F8E8015" w:rsidR="00643341" w:rsidRPr="00EC6699" w:rsidRDefault="00643341" w:rsidP="00D667C0">
      <w:pPr>
        <w:pStyle w:val="NoSpacing"/>
        <w:rPr>
          <w:rFonts w:ascii="Verdana" w:hAnsi="Verdana"/>
          <w:sz w:val="18"/>
          <w:szCs w:val="18"/>
        </w:rPr>
      </w:pPr>
    </w:p>
    <w:p w14:paraId="4A3C9DAE" w14:textId="71FD8C1B" w:rsidR="00A667AA" w:rsidRPr="00EC6699" w:rsidRDefault="00A667AA" w:rsidP="00A667AA">
      <w:pPr>
        <w:pStyle w:val="NoSpacing"/>
        <w:numPr>
          <w:ilvl w:val="0"/>
          <w:numId w:val="3"/>
        </w:numPr>
        <w:rPr>
          <w:rFonts w:ascii="Verdana" w:hAnsi="Verdana"/>
          <w:sz w:val="18"/>
          <w:szCs w:val="18"/>
        </w:rPr>
      </w:pPr>
      <w:r>
        <w:rPr>
          <w:rFonts w:ascii="Verdana" w:hAnsi="Verdana"/>
          <w:sz w:val="18"/>
        </w:rPr>
        <w:t>To receive reports for information on the following matters and advise the Board and/or Chief Executive and Management Team as appropriate:</w:t>
      </w:r>
    </w:p>
    <w:p w14:paraId="0D7A1F48" w14:textId="3DFC25CD" w:rsidR="00EF371F" w:rsidRPr="00983C26" w:rsidRDefault="00725B5A" w:rsidP="00174FA9">
      <w:pPr>
        <w:pStyle w:val="NoSpacing"/>
        <w:numPr>
          <w:ilvl w:val="1"/>
          <w:numId w:val="3"/>
        </w:numPr>
        <w:rPr>
          <w:rFonts w:ascii="Verdana" w:hAnsi="Verdana"/>
          <w:sz w:val="18"/>
          <w:szCs w:val="18"/>
        </w:rPr>
      </w:pPr>
      <w:r>
        <w:rPr>
          <w:rFonts w:ascii="Verdana" w:hAnsi="Verdana"/>
          <w:sz w:val="18"/>
        </w:rPr>
        <w:t>The work to achieve the strategic objectives, taking into account different campaigns and the relevant measures;</w:t>
      </w:r>
    </w:p>
    <w:p w14:paraId="649CDD35" w14:textId="4C95C182" w:rsidR="00B677B1" w:rsidRPr="00B677B1" w:rsidRDefault="00B677B1" w:rsidP="00174FA9">
      <w:pPr>
        <w:pStyle w:val="NoSpacing"/>
        <w:numPr>
          <w:ilvl w:val="1"/>
          <w:numId w:val="3"/>
        </w:numPr>
        <w:rPr>
          <w:rFonts w:ascii="Verdana" w:hAnsi="Verdana"/>
          <w:sz w:val="18"/>
          <w:szCs w:val="18"/>
        </w:rPr>
      </w:pPr>
      <w:r w:rsidRPr="00B677B1">
        <w:rPr>
          <w:rFonts w:ascii="Verdana" w:hAnsi="Verdana"/>
          <w:sz w:val="18"/>
          <w:szCs w:val="18"/>
        </w:rPr>
        <w:t>Monitor</w:t>
      </w:r>
      <w:r>
        <w:rPr>
          <w:rFonts w:ascii="Verdana" w:hAnsi="Verdana"/>
          <w:sz w:val="18"/>
          <w:szCs w:val="18"/>
        </w:rPr>
        <w:t>ing</w:t>
      </w:r>
      <w:r w:rsidRPr="00B677B1">
        <w:rPr>
          <w:rFonts w:ascii="Verdana" w:hAnsi="Verdana"/>
          <w:sz w:val="18"/>
          <w:szCs w:val="18"/>
        </w:rPr>
        <w:t xml:space="preserve"> and evaluat</w:t>
      </w:r>
      <w:r>
        <w:rPr>
          <w:rFonts w:ascii="Verdana" w:hAnsi="Verdana"/>
          <w:sz w:val="18"/>
          <w:szCs w:val="18"/>
        </w:rPr>
        <w:t>ing</w:t>
      </w:r>
      <w:r w:rsidRPr="00B677B1">
        <w:rPr>
          <w:rFonts w:ascii="Verdana" w:hAnsi="Verdana"/>
          <w:sz w:val="18"/>
          <w:szCs w:val="18"/>
        </w:rPr>
        <w:t xml:space="preserve"> the performance of the organisation's communications – both internal and external – against the agreed </w:t>
      </w:r>
      <w:r>
        <w:rPr>
          <w:rFonts w:ascii="Verdana" w:hAnsi="Verdana"/>
          <w:sz w:val="18"/>
          <w:szCs w:val="18"/>
        </w:rPr>
        <w:t>metrics;</w:t>
      </w:r>
    </w:p>
    <w:p w14:paraId="69208D16" w14:textId="265D4E98" w:rsidR="00B90C43" w:rsidRDefault="00B90C43" w:rsidP="00174FA9">
      <w:pPr>
        <w:pStyle w:val="NoSpacing"/>
        <w:numPr>
          <w:ilvl w:val="1"/>
          <w:numId w:val="3"/>
        </w:numPr>
        <w:rPr>
          <w:rFonts w:ascii="Verdana" w:hAnsi="Verdana"/>
          <w:sz w:val="18"/>
          <w:szCs w:val="18"/>
        </w:rPr>
      </w:pPr>
      <w:r>
        <w:rPr>
          <w:rFonts w:ascii="Verdana" w:hAnsi="Verdana"/>
          <w:sz w:val="18"/>
        </w:rPr>
        <w:t>The development of S4C’s brand and sub-brands, including in relation to perception and awareness;</w:t>
      </w:r>
    </w:p>
    <w:p w14:paraId="04CE9488" w14:textId="71989446" w:rsidR="005A421C" w:rsidRPr="005A421C" w:rsidRDefault="005A421C" w:rsidP="00AD0E91">
      <w:pPr>
        <w:pStyle w:val="NoSpacing"/>
        <w:numPr>
          <w:ilvl w:val="1"/>
          <w:numId w:val="3"/>
        </w:numPr>
        <w:rPr>
          <w:rFonts w:ascii="Verdana" w:hAnsi="Verdana"/>
          <w:sz w:val="18"/>
          <w:szCs w:val="18"/>
        </w:rPr>
      </w:pPr>
      <w:r>
        <w:rPr>
          <w:rFonts w:ascii="Verdana" w:hAnsi="Verdana"/>
          <w:sz w:val="18"/>
          <w:szCs w:val="18"/>
        </w:rPr>
        <w:t>Steps to safeguard S</w:t>
      </w:r>
      <w:r w:rsidRPr="005A421C">
        <w:rPr>
          <w:rFonts w:ascii="Verdana" w:hAnsi="Verdana"/>
          <w:sz w:val="18"/>
          <w:szCs w:val="18"/>
        </w:rPr>
        <w:t xml:space="preserve">4C's </w:t>
      </w:r>
      <w:r>
        <w:rPr>
          <w:rFonts w:ascii="Verdana" w:hAnsi="Verdana"/>
          <w:sz w:val="18"/>
          <w:szCs w:val="18"/>
        </w:rPr>
        <w:t>‘</w:t>
      </w:r>
      <w:r w:rsidRPr="005A421C">
        <w:rPr>
          <w:rFonts w:ascii="Verdana" w:hAnsi="Verdana"/>
          <w:sz w:val="18"/>
          <w:szCs w:val="18"/>
        </w:rPr>
        <w:t>Reputation</w:t>
      </w:r>
      <w:r>
        <w:rPr>
          <w:rFonts w:ascii="Verdana" w:hAnsi="Verdana"/>
          <w:sz w:val="18"/>
          <w:szCs w:val="18"/>
        </w:rPr>
        <w:t>’</w:t>
      </w:r>
      <w:r w:rsidRPr="005A421C">
        <w:rPr>
          <w:rFonts w:ascii="Verdana" w:hAnsi="Verdana"/>
          <w:sz w:val="18"/>
          <w:szCs w:val="18"/>
        </w:rPr>
        <w:t xml:space="preserve"> safeguards, including through the public affairs and corporate strategies</w:t>
      </w:r>
      <w:r w:rsidR="00282B7F">
        <w:rPr>
          <w:rFonts w:ascii="Verdana" w:hAnsi="Verdana"/>
          <w:sz w:val="18"/>
          <w:szCs w:val="18"/>
        </w:rPr>
        <w:t>;</w:t>
      </w:r>
    </w:p>
    <w:p w14:paraId="5A6BF67E" w14:textId="50090340" w:rsidR="00AD0E91" w:rsidRDefault="00AD0E91" w:rsidP="00AD0E91">
      <w:pPr>
        <w:pStyle w:val="NoSpacing"/>
        <w:numPr>
          <w:ilvl w:val="1"/>
          <w:numId w:val="3"/>
        </w:numPr>
        <w:rPr>
          <w:rFonts w:ascii="Verdana" w:hAnsi="Verdana"/>
          <w:sz w:val="18"/>
          <w:szCs w:val="18"/>
        </w:rPr>
      </w:pPr>
      <w:r>
        <w:rPr>
          <w:rFonts w:ascii="Verdana" w:hAnsi="Verdana"/>
          <w:sz w:val="18"/>
        </w:rPr>
        <w:t>The programme for forming partnerships and communicating with key external stakeholders, to maximise the benefit to S4C and its activities;</w:t>
      </w:r>
    </w:p>
    <w:p w14:paraId="1A284441" w14:textId="182021AB" w:rsidR="00966463" w:rsidRDefault="00AD0E91" w:rsidP="00174FA9">
      <w:pPr>
        <w:pStyle w:val="NoSpacing"/>
        <w:numPr>
          <w:ilvl w:val="1"/>
          <w:numId w:val="3"/>
        </w:numPr>
        <w:rPr>
          <w:rFonts w:ascii="Verdana" w:hAnsi="Verdana"/>
          <w:sz w:val="18"/>
          <w:szCs w:val="18"/>
        </w:rPr>
      </w:pPr>
      <w:r>
        <w:rPr>
          <w:rFonts w:ascii="Verdana" w:hAnsi="Verdana"/>
          <w:sz w:val="18"/>
        </w:rPr>
        <w:t>Internal and external communications plans in relation to the process to transform S4C in line with the 2022-27 Strategy, and offer advice as appropriate;</w:t>
      </w:r>
    </w:p>
    <w:p w14:paraId="4852F919" w14:textId="6CED9502" w:rsidR="00174FA9" w:rsidRDefault="009D68F6" w:rsidP="00174FA9">
      <w:pPr>
        <w:pStyle w:val="NoSpacing"/>
        <w:numPr>
          <w:ilvl w:val="1"/>
          <w:numId w:val="3"/>
        </w:numPr>
        <w:rPr>
          <w:rFonts w:ascii="Verdana" w:hAnsi="Verdana"/>
          <w:sz w:val="18"/>
          <w:szCs w:val="18"/>
        </w:rPr>
      </w:pPr>
      <w:r>
        <w:rPr>
          <w:rFonts w:ascii="Verdana" w:hAnsi="Verdana"/>
          <w:sz w:val="18"/>
        </w:rPr>
        <w:t>Evaluate the quality and success of recent campaigns against the relevant agreed measures to identify lessons to be learned;</w:t>
      </w:r>
    </w:p>
    <w:p w14:paraId="112A4502" w14:textId="5A1EB3E9" w:rsidR="00B55C3F" w:rsidRPr="00B55C3F" w:rsidRDefault="00B55C3F" w:rsidP="00174FA9">
      <w:pPr>
        <w:pStyle w:val="NoSpacing"/>
        <w:numPr>
          <w:ilvl w:val="1"/>
          <w:numId w:val="3"/>
        </w:numPr>
        <w:rPr>
          <w:rFonts w:ascii="Verdana" w:hAnsi="Verdana"/>
          <w:sz w:val="18"/>
          <w:szCs w:val="18"/>
        </w:rPr>
      </w:pPr>
      <w:r>
        <w:rPr>
          <w:rFonts w:ascii="Verdana" w:hAnsi="Verdana"/>
          <w:sz w:val="18"/>
          <w:szCs w:val="18"/>
        </w:rPr>
        <w:t xml:space="preserve">Maintaining </w:t>
      </w:r>
      <w:r w:rsidRPr="00B55C3F">
        <w:rPr>
          <w:rFonts w:ascii="Verdana" w:hAnsi="Verdana"/>
          <w:sz w:val="18"/>
          <w:szCs w:val="18"/>
        </w:rPr>
        <w:t>an overview of corporate policies relevant to S4C's profile as a public institution</w:t>
      </w:r>
      <w:r>
        <w:rPr>
          <w:rFonts w:ascii="Verdana" w:hAnsi="Verdana"/>
          <w:sz w:val="18"/>
          <w:szCs w:val="18"/>
        </w:rPr>
        <w:t>;</w:t>
      </w:r>
    </w:p>
    <w:p w14:paraId="17CA53E9" w14:textId="0F1E1C24" w:rsidR="009F0B22" w:rsidRDefault="009F0B22" w:rsidP="00174FA9">
      <w:pPr>
        <w:pStyle w:val="NoSpacing"/>
        <w:numPr>
          <w:ilvl w:val="1"/>
          <w:numId w:val="3"/>
        </w:numPr>
        <w:rPr>
          <w:rFonts w:ascii="Verdana" w:hAnsi="Verdana"/>
          <w:sz w:val="18"/>
          <w:szCs w:val="18"/>
        </w:rPr>
      </w:pPr>
      <w:r>
        <w:rPr>
          <w:rFonts w:ascii="Verdana" w:hAnsi="Verdana"/>
          <w:sz w:val="18"/>
        </w:rPr>
        <w:t>S4C’s audience insight and behaviour;</w:t>
      </w:r>
    </w:p>
    <w:p w14:paraId="5A43847C" w14:textId="1810607D" w:rsidR="008E5B55" w:rsidRPr="00983C26" w:rsidRDefault="00E3368E" w:rsidP="00174FA9">
      <w:pPr>
        <w:pStyle w:val="NoSpacing"/>
        <w:numPr>
          <w:ilvl w:val="1"/>
          <w:numId w:val="3"/>
        </w:numPr>
        <w:rPr>
          <w:rFonts w:ascii="Verdana" w:hAnsi="Verdana"/>
          <w:sz w:val="18"/>
          <w:szCs w:val="18"/>
        </w:rPr>
      </w:pPr>
      <w:r>
        <w:rPr>
          <w:rFonts w:ascii="Verdana" w:hAnsi="Verdana"/>
          <w:sz w:val="18"/>
        </w:rPr>
        <w:t>Any strategic risks that would have communication implications (as required);</w:t>
      </w:r>
    </w:p>
    <w:p w14:paraId="1279FB00" w14:textId="51A614A9" w:rsidR="00A667AA" w:rsidRPr="00983C26" w:rsidRDefault="00DC538D" w:rsidP="00174FA9">
      <w:pPr>
        <w:pStyle w:val="NoSpacing"/>
        <w:numPr>
          <w:ilvl w:val="1"/>
          <w:numId w:val="3"/>
        </w:numPr>
        <w:rPr>
          <w:rFonts w:ascii="Verdana" w:hAnsi="Verdana"/>
          <w:sz w:val="18"/>
          <w:szCs w:val="18"/>
        </w:rPr>
      </w:pPr>
      <w:r>
        <w:rPr>
          <w:rFonts w:ascii="Verdana" w:hAnsi="Verdana"/>
          <w:sz w:val="18"/>
        </w:rPr>
        <w:t>Review the appropriateness of communications and marketing methods of all kinds in the light of new trends, new opportunities and changing audience behaviour.</w:t>
      </w:r>
    </w:p>
    <w:p w14:paraId="3933D866" w14:textId="451BF5EE" w:rsidR="00A667AA" w:rsidRPr="00946D39" w:rsidRDefault="00A667AA" w:rsidP="00D667C0">
      <w:pPr>
        <w:pStyle w:val="NoSpacing"/>
        <w:rPr>
          <w:rFonts w:ascii="Verdana" w:hAnsi="Verdana"/>
          <w:sz w:val="18"/>
          <w:szCs w:val="18"/>
        </w:rPr>
      </w:pPr>
    </w:p>
    <w:p w14:paraId="5CB6811A" w14:textId="77777777" w:rsidR="00310F68" w:rsidRPr="00946D39" w:rsidRDefault="00310F68" w:rsidP="00D667C0">
      <w:pPr>
        <w:pStyle w:val="NoSpacing"/>
        <w:rPr>
          <w:rFonts w:ascii="Verdana" w:hAnsi="Verdana"/>
          <w:sz w:val="18"/>
          <w:szCs w:val="18"/>
        </w:rPr>
      </w:pPr>
    </w:p>
    <w:p w14:paraId="77EE0863" w14:textId="237535C6" w:rsidR="00A667AA" w:rsidRPr="00946D39" w:rsidRDefault="00EE35D1" w:rsidP="00D667C0">
      <w:pPr>
        <w:pStyle w:val="NoSpacing"/>
        <w:rPr>
          <w:rFonts w:ascii="Verdana" w:hAnsi="Verdana"/>
          <w:sz w:val="18"/>
          <w:szCs w:val="18"/>
        </w:rPr>
      </w:pPr>
      <w:r>
        <w:rPr>
          <w:rFonts w:ascii="Verdana" w:hAnsi="Verdana"/>
          <w:b/>
          <w:sz w:val="18"/>
        </w:rPr>
        <w:t>Rights of the Committee</w:t>
      </w:r>
    </w:p>
    <w:p w14:paraId="3F0C9EFC" w14:textId="77777777" w:rsidR="00781E2B" w:rsidRPr="00946D39" w:rsidRDefault="00781E2B" w:rsidP="00781E2B">
      <w:pPr>
        <w:pStyle w:val="NoSpacing"/>
        <w:rPr>
          <w:rFonts w:ascii="Verdana" w:hAnsi="Verdana"/>
          <w:sz w:val="18"/>
          <w:szCs w:val="18"/>
        </w:rPr>
      </w:pPr>
      <w:r>
        <w:rPr>
          <w:rFonts w:ascii="Verdana" w:hAnsi="Verdana"/>
          <w:sz w:val="18"/>
        </w:rPr>
        <w:t>The Committee may:</w:t>
      </w:r>
    </w:p>
    <w:p w14:paraId="623BFEE3" w14:textId="7724D52F" w:rsidR="00781E2B" w:rsidRPr="00946D39" w:rsidRDefault="00781E2B" w:rsidP="00FA375A">
      <w:pPr>
        <w:pStyle w:val="NoSpacing"/>
        <w:numPr>
          <w:ilvl w:val="0"/>
          <w:numId w:val="7"/>
        </w:numPr>
        <w:rPr>
          <w:rFonts w:ascii="Verdana" w:hAnsi="Verdana"/>
          <w:sz w:val="18"/>
          <w:szCs w:val="18"/>
        </w:rPr>
      </w:pPr>
      <w:r>
        <w:rPr>
          <w:rFonts w:ascii="Verdana" w:hAnsi="Verdana"/>
          <w:sz w:val="18"/>
        </w:rPr>
        <w:t>investigate any activity within its terms of reference;</w:t>
      </w:r>
    </w:p>
    <w:p w14:paraId="62CF7B2A" w14:textId="5724B2F3" w:rsidR="00781E2B" w:rsidRPr="00946D39" w:rsidRDefault="00781E2B" w:rsidP="00FA375A">
      <w:pPr>
        <w:pStyle w:val="NoSpacing"/>
        <w:numPr>
          <w:ilvl w:val="0"/>
          <w:numId w:val="7"/>
        </w:numPr>
        <w:rPr>
          <w:rFonts w:ascii="Verdana" w:hAnsi="Verdana"/>
          <w:sz w:val="18"/>
          <w:szCs w:val="18"/>
        </w:rPr>
      </w:pPr>
      <w:r>
        <w:rPr>
          <w:rFonts w:ascii="Verdana" w:hAnsi="Verdana"/>
          <w:sz w:val="18"/>
        </w:rPr>
        <w:t>commission expert advice or research for the Committee as required (via the Secretary); and</w:t>
      </w:r>
    </w:p>
    <w:p w14:paraId="629CA26D" w14:textId="5536F094" w:rsidR="00EE35D1" w:rsidRPr="00946D39" w:rsidRDefault="00FA375A" w:rsidP="00FA375A">
      <w:pPr>
        <w:pStyle w:val="NoSpacing"/>
        <w:numPr>
          <w:ilvl w:val="0"/>
          <w:numId w:val="7"/>
        </w:numPr>
        <w:rPr>
          <w:rFonts w:ascii="Verdana" w:hAnsi="Verdana"/>
          <w:sz w:val="18"/>
          <w:szCs w:val="18"/>
        </w:rPr>
      </w:pPr>
      <w:r>
        <w:rPr>
          <w:rFonts w:ascii="Verdana" w:hAnsi="Verdana"/>
          <w:sz w:val="18"/>
        </w:rPr>
        <w:t>seek any information required from any member of staff, and all staff are instructed to co-operate with any request made by the Committee.</w:t>
      </w:r>
    </w:p>
    <w:p w14:paraId="6DD4379F" w14:textId="6083B3E3" w:rsidR="00EE35D1" w:rsidRPr="00946D39" w:rsidRDefault="00EE35D1" w:rsidP="00D667C0">
      <w:pPr>
        <w:pStyle w:val="NoSpacing"/>
        <w:rPr>
          <w:rFonts w:ascii="Verdana" w:hAnsi="Verdana"/>
          <w:sz w:val="18"/>
          <w:szCs w:val="18"/>
        </w:rPr>
      </w:pPr>
    </w:p>
    <w:p w14:paraId="6E449497" w14:textId="77777777" w:rsidR="00AC129D" w:rsidRPr="005B1F64" w:rsidRDefault="00AC129D" w:rsidP="00AC129D">
      <w:pPr>
        <w:pStyle w:val="NoSpacing"/>
        <w:rPr>
          <w:rFonts w:ascii="Verdana" w:hAnsi="Verdana"/>
          <w:sz w:val="18"/>
          <w:szCs w:val="18"/>
        </w:rPr>
      </w:pPr>
      <w:r w:rsidRPr="004A423D">
        <w:rPr>
          <w:rFonts w:ascii="Verdana" w:hAnsi="Verdana"/>
          <w:sz w:val="18"/>
          <w:szCs w:val="18"/>
        </w:rPr>
        <w:t>Although the Chair may offer guidance and advice on the types of matters that should be formally presented to the Committee, together with the best time to do so, and the nature of the information appropriate to present to the Committee, the Chair cannot take any formal decisions on behalf of the Committee unless the Committee has agreed to delegate the decision to them in advance.</w:t>
      </w:r>
    </w:p>
    <w:p w14:paraId="40E8C2E4" w14:textId="77777777" w:rsidR="00A441F9" w:rsidRPr="00946D39" w:rsidRDefault="00A441F9" w:rsidP="00D667C0">
      <w:pPr>
        <w:pStyle w:val="NoSpacing"/>
        <w:rPr>
          <w:rFonts w:ascii="Verdana" w:hAnsi="Verdana"/>
          <w:sz w:val="18"/>
          <w:szCs w:val="18"/>
        </w:rPr>
      </w:pPr>
    </w:p>
    <w:p w14:paraId="1006BE02" w14:textId="77777777" w:rsidR="00D45530" w:rsidRDefault="00D45530" w:rsidP="00D667C0">
      <w:pPr>
        <w:pStyle w:val="NoSpacing"/>
        <w:rPr>
          <w:rFonts w:ascii="Verdana" w:hAnsi="Verdana"/>
          <w:b/>
          <w:sz w:val="18"/>
        </w:rPr>
      </w:pPr>
    </w:p>
    <w:p w14:paraId="00B79800" w14:textId="0C2C069F" w:rsidR="00643341" w:rsidRPr="00946D39" w:rsidRDefault="00643341" w:rsidP="00D667C0">
      <w:pPr>
        <w:pStyle w:val="NoSpacing"/>
        <w:rPr>
          <w:rFonts w:ascii="Verdana" w:hAnsi="Verdana"/>
          <w:sz w:val="18"/>
          <w:szCs w:val="18"/>
        </w:rPr>
      </w:pPr>
      <w:r>
        <w:rPr>
          <w:rFonts w:ascii="Verdana" w:hAnsi="Verdana"/>
          <w:b/>
          <w:sz w:val="18"/>
        </w:rPr>
        <w:t>Meeting Arrangements</w:t>
      </w:r>
    </w:p>
    <w:p w14:paraId="0B8410F7" w14:textId="7A509293" w:rsidR="00173570" w:rsidRPr="00946D39" w:rsidRDefault="00134A8E" w:rsidP="00D667C0">
      <w:pPr>
        <w:pStyle w:val="NoSpacing"/>
        <w:rPr>
          <w:rFonts w:ascii="Verdana" w:hAnsi="Verdana"/>
          <w:sz w:val="18"/>
          <w:szCs w:val="18"/>
        </w:rPr>
      </w:pPr>
      <w:r>
        <w:rPr>
          <w:rFonts w:ascii="Verdana" w:hAnsi="Verdana"/>
          <w:sz w:val="18"/>
        </w:rPr>
        <w:t>Meetings are arranged at least three times a year, and then as required (at the request of the Secretary, the Chair of the Committee, or the Chair of the Board).</w:t>
      </w:r>
    </w:p>
    <w:p w14:paraId="71DCDCE5" w14:textId="4113365A" w:rsidR="006724DE" w:rsidRPr="00946D39" w:rsidRDefault="006724DE" w:rsidP="00D667C0">
      <w:pPr>
        <w:pStyle w:val="NoSpacing"/>
        <w:rPr>
          <w:rFonts w:ascii="Verdana" w:hAnsi="Verdana"/>
          <w:sz w:val="18"/>
          <w:szCs w:val="18"/>
        </w:rPr>
      </w:pPr>
    </w:p>
    <w:p w14:paraId="4F136D0A" w14:textId="77777777" w:rsidR="003A6FCC" w:rsidRDefault="003A6FCC" w:rsidP="003A6FCC">
      <w:pPr>
        <w:pStyle w:val="NoSpacing"/>
        <w:rPr>
          <w:rFonts w:ascii="Verdana" w:hAnsi="Verdana"/>
          <w:sz w:val="18"/>
        </w:rPr>
      </w:pPr>
      <w:r>
        <w:rPr>
          <w:rFonts w:ascii="Verdana" w:hAnsi="Verdana"/>
          <w:sz w:val="18"/>
        </w:rPr>
        <w:t>The Committee may consider and approve matters through communication outside of formal meetings, provided that a full record of the decision is kept and that any decision taken outside of a formal meeting is reported and recorded in the next formal meeting.</w:t>
      </w:r>
    </w:p>
    <w:p w14:paraId="24B791B4" w14:textId="77777777" w:rsidR="00B17432" w:rsidRPr="00060FA9" w:rsidRDefault="00B17432" w:rsidP="003A6FCC">
      <w:pPr>
        <w:pStyle w:val="NoSpacing"/>
        <w:rPr>
          <w:rFonts w:ascii="Verdana" w:hAnsi="Verdana"/>
          <w:sz w:val="18"/>
          <w:szCs w:val="18"/>
        </w:rPr>
      </w:pPr>
    </w:p>
    <w:p w14:paraId="1918E999" w14:textId="466475EB" w:rsidR="006724DE" w:rsidRPr="00946D39" w:rsidRDefault="006724DE" w:rsidP="00D667C0">
      <w:pPr>
        <w:pStyle w:val="NoSpacing"/>
        <w:rPr>
          <w:rFonts w:ascii="Verdana" w:hAnsi="Verdana"/>
          <w:sz w:val="18"/>
          <w:szCs w:val="18"/>
        </w:rPr>
      </w:pPr>
      <w:r>
        <w:rPr>
          <w:rFonts w:ascii="Verdana" w:hAnsi="Verdana"/>
          <w:sz w:val="18"/>
        </w:rPr>
        <w:t>Individuals are required to leave the meeting when a conflict of interest arises (the Committee will have the final say in any conflict of interest).</w:t>
      </w:r>
    </w:p>
    <w:p w14:paraId="2B95AE4D" w14:textId="284C8D27" w:rsidR="00D32481" w:rsidRPr="00946D39" w:rsidRDefault="00D32481" w:rsidP="00D667C0">
      <w:pPr>
        <w:pStyle w:val="NoSpacing"/>
        <w:rPr>
          <w:rFonts w:ascii="Verdana" w:hAnsi="Verdana"/>
          <w:sz w:val="18"/>
          <w:szCs w:val="18"/>
        </w:rPr>
      </w:pPr>
    </w:p>
    <w:p w14:paraId="4D9FFF3E" w14:textId="31A605E6" w:rsidR="00173570" w:rsidRPr="00946D39" w:rsidRDefault="00A8648C" w:rsidP="00D667C0">
      <w:pPr>
        <w:pStyle w:val="NoSpacing"/>
        <w:rPr>
          <w:rFonts w:ascii="Verdana" w:hAnsi="Verdana"/>
          <w:sz w:val="18"/>
          <w:szCs w:val="18"/>
        </w:rPr>
      </w:pPr>
      <w:r>
        <w:rPr>
          <w:rFonts w:ascii="Verdana" w:hAnsi="Verdana"/>
          <w:sz w:val="18"/>
        </w:rPr>
        <w:t>The Secretary, or other competent person appointed by the Secretary, will record the meeting.</w:t>
      </w:r>
    </w:p>
    <w:p w14:paraId="0B50806B" w14:textId="364C86A6" w:rsidR="00F607A3" w:rsidRPr="00946D39" w:rsidRDefault="00F607A3" w:rsidP="00D667C0">
      <w:pPr>
        <w:pStyle w:val="NoSpacing"/>
        <w:rPr>
          <w:rFonts w:ascii="Verdana" w:hAnsi="Verdana"/>
          <w:sz w:val="18"/>
          <w:szCs w:val="18"/>
        </w:rPr>
      </w:pPr>
    </w:p>
    <w:p w14:paraId="30D64E85" w14:textId="6283AFAC" w:rsidR="00F607A3" w:rsidRPr="00946D39" w:rsidRDefault="00F607A3" w:rsidP="00D667C0">
      <w:pPr>
        <w:pStyle w:val="NoSpacing"/>
        <w:rPr>
          <w:rFonts w:ascii="Verdana" w:hAnsi="Verdana"/>
          <w:sz w:val="18"/>
          <w:szCs w:val="18"/>
        </w:rPr>
      </w:pPr>
      <w:r>
        <w:rPr>
          <w:rFonts w:ascii="Verdana" w:hAnsi="Verdana"/>
          <w:sz w:val="18"/>
        </w:rPr>
        <w:t>Minutes and/or reports from the Committee will be noted or considered, as appropriate, by the Board as soon as possible following Committee meetings.</w:t>
      </w:r>
    </w:p>
    <w:p w14:paraId="70F73378" w14:textId="567E8891" w:rsidR="008A7966" w:rsidRPr="00946D39" w:rsidRDefault="008A7966" w:rsidP="00D667C0">
      <w:pPr>
        <w:pStyle w:val="NoSpacing"/>
        <w:rPr>
          <w:rFonts w:ascii="Verdana" w:hAnsi="Verdana"/>
          <w:sz w:val="18"/>
          <w:szCs w:val="18"/>
        </w:rPr>
      </w:pPr>
    </w:p>
    <w:p w14:paraId="4F49F3D3" w14:textId="62E95770" w:rsidR="008A7966" w:rsidRDefault="008A7966" w:rsidP="008A7966">
      <w:pPr>
        <w:pStyle w:val="NoSpacing"/>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rPr>
        <w:t>Subject to the above provisions, the activities of the Committee shall be governed by, so far as relevant, the Standing Orders of the Board.</w:t>
      </w:r>
    </w:p>
    <w:sectPr w:rsidR="008A7966" w:rsidSect="00D667C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E73"/>
    <w:multiLevelType w:val="hybridMultilevel"/>
    <w:tmpl w:val="B1E6790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166A1E48"/>
    <w:multiLevelType w:val="hybridMultilevel"/>
    <w:tmpl w:val="5DEA3EBA"/>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116" w:hanging="360"/>
      </w:pPr>
      <w:rPr>
        <w:rFonts w:ascii="Courier New" w:hAnsi="Courier New" w:cs="Courier New" w:hint="default"/>
      </w:rPr>
    </w:lvl>
    <w:lvl w:ilvl="2" w:tplc="04520005" w:tentative="1">
      <w:start w:val="1"/>
      <w:numFmt w:val="bullet"/>
      <w:lvlText w:val=""/>
      <w:lvlJc w:val="left"/>
      <w:pPr>
        <w:ind w:left="1836" w:hanging="360"/>
      </w:pPr>
      <w:rPr>
        <w:rFonts w:ascii="Wingdings" w:hAnsi="Wingdings" w:hint="default"/>
      </w:rPr>
    </w:lvl>
    <w:lvl w:ilvl="3" w:tplc="04520001" w:tentative="1">
      <w:start w:val="1"/>
      <w:numFmt w:val="bullet"/>
      <w:lvlText w:val=""/>
      <w:lvlJc w:val="left"/>
      <w:pPr>
        <w:ind w:left="2556" w:hanging="360"/>
      </w:pPr>
      <w:rPr>
        <w:rFonts w:ascii="Symbol" w:hAnsi="Symbol" w:hint="default"/>
      </w:rPr>
    </w:lvl>
    <w:lvl w:ilvl="4" w:tplc="04520003" w:tentative="1">
      <w:start w:val="1"/>
      <w:numFmt w:val="bullet"/>
      <w:lvlText w:val="o"/>
      <w:lvlJc w:val="left"/>
      <w:pPr>
        <w:ind w:left="3276" w:hanging="360"/>
      </w:pPr>
      <w:rPr>
        <w:rFonts w:ascii="Courier New" w:hAnsi="Courier New" w:cs="Courier New" w:hint="default"/>
      </w:rPr>
    </w:lvl>
    <w:lvl w:ilvl="5" w:tplc="04520005" w:tentative="1">
      <w:start w:val="1"/>
      <w:numFmt w:val="bullet"/>
      <w:lvlText w:val=""/>
      <w:lvlJc w:val="left"/>
      <w:pPr>
        <w:ind w:left="3996" w:hanging="360"/>
      </w:pPr>
      <w:rPr>
        <w:rFonts w:ascii="Wingdings" w:hAnsi="Wingdings" w:hint="default"/>
      </w:rPr>
    </w:lvl>
    <w:lvl w:ilvl="6" w:tplc="04520001" w:tentative="1">
      <w:start w:val="1"/>
      <w:numFmt w:val="bullet"/>
      <w:lvlText w:val=""/>
      <w:lvlJc w:val="left"/>
      <w:pPr>
        <w:ind w:left="4716" w:hanging="360"/>
      </w:pPr>
      <w:rPr>
        <w:rFonts w:ascii="Symbol" w:hAnsi="Symbol" w:hint="default"/>
      </w:rPr>
    </w:lvl>
    <w:lvl w:ilvl="7" w:tplc="04520003" w:tentative="1">
      <w:start w:val="1"/>
      <w:numFmt w:val="bullet"/>
      <w:lvlText w:val="o"/>
      <w:lvlJc w:val="left"/>
      <w:pPr>
        <w:ind w:left="5436" w:hanging="360"/>
      </w:pPr>
      <w:rPr>
        <w:rFonts w:ascii="Courier New" w:hAnsi="Courier New" w:cs="Courier New" w:hint="default"/>
      </w:rPr>
    </w:lvl>
    <w:lvl w:ilvl="8" w:tplc="04520005" w:tentative="1">
      <w:start w:val="1"/>
      <w:numFmt w:val="bullet"/>
      <w:lvlText w:val=""/>
      <w:lvlJc w:val="left"/>
      <w:pPr>
        <w:ind w:left="6156" w:hanging="360"/>
      </w:pPr>
      <w:rPr>
        <w:rFonts w:ascii="Wingdings" w:hAnsi="Wingdings" w:hint="default"/>
      </w:rPr>
    </w:lvl>
  </w:abstractNum>
  <w:abstractNum w:abstractNumId="2" w15:restartNumberingAfterBreak="0">
    <w:nsid w:val="36366F18"/>
    <w:multiLevelType w:val="hybridMultilevel"/>
    <w:tmpl w:val="33DE1B08"/>
    <w:lvl w:ilvl="0" w:tplc="A1A6E066">
      <w:numFmt w:val="bullet"/>
      <w:lvlText w:val="•"/>
      <w:lvlJc w:val="left"/>
      <w:pPr>
        <w:ind w:left="1080" w:hanging="720"/>
      </w:pPr>
      <w:rPr>
        <w:rFonts w:ascii="Verdana" w:eastAsiaTheme="minorHAnsi" w:hAnsi="Verdana"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9A7758D"/>
    <w:multiLevelType w:val="hybridMultilevel"/>
    <w:tmpl w:val="EA9A9D7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5238749B"/>
    <w:multiLevelType w:val="hybridMultilevel"/>
    <w:tmpl w:val="70D2B028"/>
    <w:lvl w:ilvl="0" w:tplc="04520001">
      <w:start w:val="1"/>
      <w:numFmt w:val="bullet"/>
      <w:lvlText w:val=""/>
      <w:lvlJc w:val="left"/>
      <w:pPr>
        <w:ind w:left="720" w:hanging="72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54A87378"/>
    <w:multiLevelType w:val="hybridMultilevel"/>
    <w:tmpl w:val="4BE4D31A"/>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59B95401"/>
    <w:multiLevelType w:val="hybridMultilevel"/>
    <w:tmpl w:val="C5749A90"/>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972513904">
    <w:abstractNumId w:val="5"/>
  </w:num>
  <w:num w:numId="2" w16cid:durableId="118497556">
    <w:abstractNumId w:val="1"/>
  </w:num>
  <w:num w:numId="3" w16cid:durableId="595141144">
    <w:abstractNumId w:val="0"/>
  </w:num>
  <w:num w:numId="4" w16cid:durableId="987981654">
    <w:abstractNumId w:val="6"/>
  </w:num>
  <w:num w:numId="5" w16cid:durableId="234247407">
    <w:abstractNumId w:val="2"/>
  </w:num>
  <w:num w:numId="6" w16cid:durableId="737942101">
    <w:abstractNumId w:val="4"/>
  </w:num>
  <w:num w:numId="7" w16cid:durableId="1502740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C0"/>
    <w:rsid w:val="00005E63"/>
    <w:rsid w:val="0001208A"/>
    <w:rsid w:val="00020244"/>
    <w:rsid w:val="00020571"/>
    <w:rsid w:val="0003636A"/>
    <w:rsid w:val="00061719"/>
    <w:rsid w:val="00064C45"/>
    <w:rsid w:val="000661D0"/>
    <w:rsid w:val="000676F5"/>
    <w:rsid w:val="000B398B"/>
    <w:rsid w:val="000D6B34"/>
    <w:rsid w:val="000E4C96"/>
    <w:rsid w:val="00104A10"/>
    <w:rsid w:val="00116389"/>
    <w:rsid w:val="00122B82"/>
    <w:rsid w:val="00122F0A"/>
    <w:rsid w:val="00134A8E"/>
    <w:rsid w:val="00141883"/>
    <w:rsid w:val="00144C19"/>
    <w:rsid w:val="001641BE"/>
    <w:rsid w:val="00173570"/>
    <w:rsid w:val="001742A7"/>
    <w:rsid w:val="00174FA9"/>
    <w:rsid w:val="0019162F"/>
    <w:rsid w:val="001C3D07"/>
    <w:rsid w:val="001D57DE"/>
    <w:rsid w:val="001D73FD"/>
    <w:rsid w:val="00215978"/>
    <w:rsid w:val="00252583"/>
    <w:rsid w:val="00252DE8"/>
    <w:rsid w:val="00254AAF"/>
    <w:rsid w:val="00255B11"/>
    <w:rsid w:val="00282577"/>
    <w:rsid w:val="00282B7F"/>
    <w:rsid w:val="002A7C28"/>
    <w:rsid w:val="002B10AC"/>
    <w:rsid w:val="002B681F"/>
    <w:rsid w:val="002F5E03"/>
    <w:rsid w:val="002F72AC"/>
    <w:rsid w:val="00310F68"/>
    <w:rsid w:val="00323CE6"/>
    <w:rsid w:val="00333D01"/>
    <w:rsid w:val="00345264"/>
    <w:rsid w:val="0038022A"/>
    <w:rsid w:val="0039250C"/>
    <w:rsid w:val="003A6F6B"/>
    <w:rsid w:val="003A6FCC"/>
    <w:rsid w:val="003E4CB0"/>
    <w:rsid w:val="003F4A11"/>
    <w:rsid w:val="00474FBA"/>
    <w:rsid w:val="00483DA9"/>
    <w:rsid w:val="004B086E"/>
    <w:rsid w:val="004C3881"/>
    <w:rsid w:val="00544CF0"/>
    <w:rsid w:val="0055233E"/>
    <w:rsid w:val="00575745"/>
    <w:rsid w:val="0058067B"/>
    <w:rsid w:val="005A421C"/>
    <w:rsid w:val="005A70D3"/>
    <w:rsid w:val="005B69B7"/>
    <w:rsid w:val="005D452F"/>
    <w:rsid w:val="005F01E0"/>
    <w:rsid w:val="0061576E"/>
    <w:rsid w:val="0062118A"/>
    <w:rsid w:val="0062744C"/>
    <w:rsid w:val="00643341"/>
    <w:rsid w:val="006724DE"/>
    <w:rsid w:val="006829B3"/>
    <w:rsid w:val="00690CF8"/>
    <w:rsid w:val="006A5A43"/>
    <w:rsid w:val="006B65A2"/>
    <w:rsid w:val="00706791"/>
    <w:rsid w:val="007173CE"/>
    <w:rsid w:val="00725B5A"/>
    <w:rsid w:val="00734E75"/>
    <w:rsid w:val="007462CB"/>
    <w:rsid w:val="00781E2B"/>
    <w:rsid w:val="007D0049"/>
    <w:rsid w:val="007E2394"/>
    <w:rsid w:val="007E5A3D"/>
    <w:rsid w:val="007F335E"/>
    <w:rsid w:val="0082229D"/>
    <w:rsid w:val="00851130"/>
    <w:rsid w:val="00884A7E"/>
    <w:rsid w:val="00887B0A"/>
    <w:rsid w:val="008A7966"/>
    <w:rsid w:val="008B12C9"/>
    <w:rsid w:val="008C5D0A"/>
    <w:rsid w:val="008E5B55"/>
    <w:rsid w:val="00906082"/>
    <w:rsid w:val="00922C67"/>
    <w:rsid w:val="00946D39"/>
    <w:rsid w:val="00963752"/>
    <w:rsid w:val="0096505A"/>
    <w:rsid w:val="00966463"/>
    <w:rsid w:val="00983C26"/>
    <w:rsid w:val="009936C9"/>
    <w:rsid w:val="009B1E18"/>
    <w:rsid w:val="009B345E"/>
    <w:rsid w:val="009D68F6"/>
    <w:rsid w:val="009F0B22"/>
    <w:rsid w:val="00A134A8"/>
    <w:rsid w:val="00A2379C"/>
    <w:rsid w:val="00A441F9"/>
    <w:rsid w:val="00A46D86"/>
    <w:rsid w:val="00A543FB"/>
    <w:rsid w:val="00A667AA"/>
    <w:rsid w:val="00A71FFC"/>
    <w:rsid w:val="00A8648C"/>
    <w:rsid w:val="00AA0CF0"/>
    <w:rsid w:val="00AA26CB"/>
    <w:rsid w:val="00AB534B"/>
    <w:rsid w:val="00AC129D"/>
    <w:rsid w:val="00AD0E91"/>
    <w:rsid w:val="00AE024B"/>
    <w:rsid w:val="00AF49F0"/>
    <w:rsid w:val="00B17432"/>
    <w:rsid w:val="00B37F0F"/>
    <w:rsid w:val="00B55C3F"/>
    <w:rsid w:val="00B677B1"/>
    <w:rsid w:val="00B721F9"/>
    <w:rsid w:val="00B77672"/>
    <w:rsid w:val="00B82C82"/>
    <w:rsid w:val="00B90C43"/>
    <w:rsid w:val="00BA08EE"/>
    <w:rsid w:val="00BC6F67"/>
    <w:rsid w:val="00BD7919"/>
    <w:rsid w:val="00BE274E"/>
    <w:rsid w:val="00C00181"/>
    <w:rsid w:val="00C01CD0"/>
    <w:rsid w:val="00C041E9"/>
    <w:rsid w:val="00C07882"/>
    <w:rsid w:val="00C10AF4"/>
    <w:rsid w:val="00C1269D"/>
    <w:rsid w:val="00C254D2"/>
    <w:rsid w:val="00C32034"/>
    <w:rsid w:val="00C47B2A"/>
    <w:rsid w:val="00C77356"/>
    <w:rsid w:val="00C8105A"/>
    <w:rsid w:val="00C96949"/>
    <w:rsid w:val="00CA2058"/>
    <w:rsid w:val="00CB2992"/>
    <w:rsid w:val="00CB446E"/>
    <w:rsid w:val="00D32481"/>
    <w:rsid w:val="00D45530"/>
    <w:rsid w:val="00D61205"/>
    <w:rsid w:val="00D667C0"/>
    <w:rsid w:val="00D66B03"/>
    <w:rsid w:val="00D921C4"/>
    <w:rsid w:val="00DA1A7E"/>
    <w:rsid w:val="00DC538D"/>
    <w:rsid w:val="00DC7F37"/>
    <w:rsid w:val="00DE2BBD"/>
    <w:rsid w:val="00DE55F1"/>
    <w:rsid w:val="00DF76C6"/>
    <w:rsid w:val="00E3368E"/>
    <w:rsid w:val="00E42160"/>
    <w:rsid w:val="00E7073C"/>
    <w:rsid w:val="00E77DA2"/>
    <w:rsid w:val="00E939BA"/>
    <w:rsid w:val="00E9650F"/>
    <w:rsid w:val="00E9682C"/>
    <w:rsid w:val="00EA1192"/>
    <w:rsid w:val="00EA6390"/>
    <w:rsid w:val="00EB71DD"/>
    <w:rsid w:val="00EC0B09"/>
    <w:rsid w:val="00EC6699"/>
    <w:rsid w:val="00ED6CEF"/>
    <w:rsid w:val="00EE35D1"/>
    <w:rsid w:val="00EE4FD2"/>
    <w:rsid w:val="00EF371F"/>
    <w:rsid w:val="00F10C6B"/>
    <w:rsid w:val="00F16822"/>
    <w:rsid w:val="00F4232E"/>
    <w:rsid w:val="00F42FD2"/>
    <w:rsid w:val="00F5116A"/>
    <w:rsid w:val="00F607A3"/>
    <w:rsid w:val="00F84BB2"/>
    <w:rsid w:val="00FA375A"/>
    <w:rsid w:val="00FD214F"/>
    <w:rsid w:val="00FF445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D11"/>
  <w15:chartTrackingRefBased/>
  <w15:docId w15:val="{3E535D63-FA82-44B6-AF7D-B10BA67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7C0"/>
    <w:pPr>
      <w:spacing w:after="0" w:line="240" w:lineRule="auto"/>
    </w:pPr>
  </w:style>
  <w:style w:type="paragraph" w:styleId="BalloonText">
    <w:name w:val="Balloon Text"/>
    <w:basedOn w:val="Normal"/>
    <w:link w:val="BalloonTextChar"/>
    <w:uiPriority w:val="99"/>
    <w:semiHidden/>
    <w:unhideWhenUsed/>
    <w:rsid w:val="001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BE"/>
    <w:rPr>
      <w:rFonts w:ascii="Segoe UI" w:hAnsi="Segoe UI" w:cs="Segoe UI"/>
      <w:sz w:val="18"/>
      <w:szCs w:val="18"/>
    </w:rPr>
  </w:style>
  <w:style w:type="paragraph" w:styleId="ListParagraph">
    <w:name w:val="List Paragraph"/>
    <w:basedOn w:val="Normal"/>
    <w:uiPriority w:val="34"/>
    <w:qFormat/>
    <w:rsid w:val="001641BE"/>
    <w:pPr>
      <w:ind w:left="720"/>
      <w:contextualSpacing/>
    </w:pPr>
  </w:style>
  <w:style w:type="table" w:styleId="TableGrid">
    <w:name w:val="Table Grid"/>
    <w:basedOn w:val="TableNormal"/>
    <w:uiPriority w:val="39"/>
    <w:rsid w:val="0000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CD0"/>
    <w:rPr>
      <w:sz w:val="16"/>
      <w:szCs w:val="16"/>
    </w:rPr>
  </w:style>
  <w:style w:type="paragraph" w:styleId="CommentText">
    <w:name w:val="annotation text"/>
    <w:basedOn w:val="Normal"/>
    <w:link w:val="CommentTextChar"/>
    <w:uiPriority w:val="99"/>
    <w:semiHidden/>
    <w:unhideWhenUsed/>
    <w:rsid w:val="00C01CD0"/>
    <w:pPr>
      <w:spacing w:line="240" w:lineRule="auto"/>
    </w:pPr>
    <w:rPr>
      <w:sz w:val="20"/>
      <w:szCs w:val="20"/>
    </w:rPr>
  </w:style>
  <w:style w:type="character" w:customStyle="1" w:styleId="CommentTextChar">
    <w:name w:val="Comment Text Char"/>
    <w:basedOn w:val="DefaultParagraphFont"/>
    <w:link w:val="CommentText"/>
    <w:uiPriority w:val="99"/>
    <w:semiHidden/>
    <w:rsid w:val="00C01CD0"/>
    <w:rPr>
      <w:sz w:val="20"/>
      <w:szCs w:val="20"/>
    </w:rPr>
  </w:style>
  <w:style w:type="paragraph" w:styleId="CommentSubject">
    <w:name w:val="annotation subject"/>
    <w:basedOn w:val="CommentText"/>
    <w:next w:val="CommentText"/>
    <w:link w:val="CommentSubjectChar"/>
    <w:uiPriority w:val="99"/>
    <w:semiHidden/>
    <w:unhideWhenUsed/>
    <w:rsid w:val="00C01CD0"/>
    <w:rPr>
      <w:b/>
      <w:bCs/>
    </w:rPr>
  </w:style>
  <w:style w:type="character" w:customStyle="1" w:styleId="CommentSubjectChar">
    <w:name w:val="Comment Subject Char"/>
    <w:basedOn w:val="CommentTextChar"/>
    <w:link w:val="CommentSubject"/>
    <w:uiPriority w:val="99"/>
    <w:semiHidden/>
    <w:rsid w:val="00C01CD0"/>
    <w:rPr>
      <w:b/>
      <w:bCs/>
      <w:sz w:val="20"/>
      <w:szCs w:val="20"/>
    </w:rPr>
  </w:style>
  <w:style w:type="paragraph" w:styleId="Revision">
    <w:name w:val="Revision"/>
    <w:hidden/>
    <w:uiPriority w:val="99"/>
    <w:semiHidden/>
    <w:rsid w:val="00174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635ee-0991-4bb6-8008-0ac83f9a10a7" xsi:nil="true"/>
    <lcf76f155ced4ddcb4097134ff3c332f xmlns="6a413f35-34ee-416c-92d2-65290fe412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8A2DB4C4C774BA7318E87B598D1B2" ma:contentTypeVersion="15" ma:contentTypeDescription="Create a new document." ma:contentTypeScope="" ma:versionID="f7734d6646ead7b61a6dcab7cc087e9d">
  <xsd:schema xmlns:xsd="http://www.w3.org/2001/XMLSchema" xmlns:xs="http://www.w3.org/2001/XMLSchema" xmlns:p="http://schemas.microsoft.com/office/2006/metadata/properties" xmlns:ns2="6a413f35-34ee-416c-92d2-65290fe41293" xmlns:ns3="c8f635ee-0991-4bb6-8008-0ac83f9a10a7" targetNamespace="http://schemas.microsoft.com/office/2006/metadata/properties" ma:root="true" ma:fieldsID="ae712be759f6850d32919343dfead6b0" ns2:_="" ns3:_="">
    <xsd:import namespace="6a413f35-34ee-416c-92d2-65290fe41293"/>
    <xsd:import namespace="c8f635ee-0991-4bb6-8008-0ac83f9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3f35-34ee-416c-92d2-65290fe41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35ee-0991-4bb6-8008-0ac83f9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b74f01-a5f6-42f2-947f-66f7f26407ce}" ma:internalName="TaxCatchAll" ma:showField="CatchAllData" ma:web="c8f635ee-0991-4bb6-8008-0ac83f9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81B04-FB43-484E-8ABA-22214B6A6A7F}">
  <ds:schemaRefs>
    <ds:schemaRef ds:uri="http://schemas.microsoft.com/office/2006/metadata/properties"/>
    <ds:schemaRef ds:uri="http://schemas.microsoft.com/office/infopath/2007/PartnerControls"/>
    <ds:schemaRef ds:uri="c8f635ee-0991-4bb6-8008-0ac83f9a10a7"/>
    <ds:schemaRef ds:uri="6a413f35-34ee-416c-92d2-65290fe41293"/>
  </ds:schemaRefs>
</ds:datastoreItem>
</file>

<file path=customXml/itemProps2.xml><?xml version="1.0" encoding="utf-8"?>
<ds:datastoreItem xmlns:ds="http://schemas.openxmlformats.org/officeDocument/2006/customXml" ds:itemID="{97A4CEF2-C679-4877-8475-C2C3784E16AF}">
  <ds:schemaRefs>
    <ds:schemaRef ds:uri="http://schemas.microsoft.com/sharepoint/v3/contenttype/forms"/>
  </ds:schemaRefs>
</ds:datastoreItem>
</file>

<file path=customXml/itemProps3.xml><?xml version="1.0" encoding="utf-8"?>
<ds:datastoreItem xmlns:ds="http://schemas.openxmlformats.org/officeDocument/2006/customXml" ds:itemID="{B8164615-1676-4FCA-8830-8C2B3CA5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3f35-34ee-416c-92d2-65290fe41293"/>
    <ds:schemaRef ds:uri="c8f635ee-0991-4bb6-8008-0ac83f9a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Pugh - S4C</dc:creator>
  <cp:keywords/>
  <dc:description/>
  <cp:lastModifiedBy>Geraint Pugh - S4C</cp:lastModifiedBy>
  <cp:revision>10</cp:revision>
  <dcterms:created xsi:type="dcterms:W3CDTF">2023-07-19T13:29:00Z</dcterms:created>
  <dcterms:modified xsi:type="dcterms:W3CDTF">2024-04-26T14:26:00Z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0x010100E908A2DB4C4C774BA7318E87B598D1B2</vt:lpwstr>
  </property>
</Properties>
</file>