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3CA8A" w14:textId="77777777" w:rsidR="005F1887" w:rsidRPr="00E276AD" w:rsidRDefault="005F1887" w:rsidP="008B1BF8">
      <w:pPr>
        <w:spacing w:after="0"/>
        <w:ind w:left="737"/>
        <w:jc w:val="both"/>
      </w:pPr>
    </w:p>
    <w:tbl>
      <w:tblPr>
        <w:tblW w:w="9889" w:type="dxa"/>
        <w:tblInd w:w="851" w:type="dxa"/>
        <w:tblBorders>
          <w:top w:val="single" w:sz="8" w:space="0" w:color="000000"/>
          <w:bottom w:val="single" w:sz="8" w:space="0" w:color="000000"/>
        </w:tblBorders>
        <w:tblLook w:val="04A0" w:firstRow="1" w:lastRow="0" w:firstColumn="1" w:lastColumn="0" w:noHBand="0" w:noVBand="1"/>
      </w:tblPr>
      <w:tblGrid>
        <w:gridCol w:w="9889"/>
      </w:tblGrid>
      <w:tr w:rsidR="009A4045" w:rsidRPr="00E276AD" w14:paraId="6D6BE8FC" w14:textId="77777777" w:rsidTr="00DC7B22">
        <w:trPr>
          <w:trHeight w:val="567"/>
        </w:trPr>
        <w:tc>
          <w:tcPr>
            <w:tcW w:w="9889" w:type="dxa"/>
            <w:tcBorders>
              <w:top w:val="single" w:sz="2" w:space="0" w:color="auto"/>
              <w:left w:val="nil"/>
              <w:bottom w:val="single" w:sz="2" w:space="0" w:color="auto"/>
              <w:right w:val="nil"/>
            </w:tcBorders>
            <w:shd w:val="clear" w:color="auto" w:fill="auto"/>
            <w:vAlign w:val="center"/>
          </w:tcPr>
          <w:p w14:paraId="59ADEC4B" w14:textId="77777777" w:rsidR="00714535" w:rsidRPr="00E276AD" w:rsidRDefault="0095302B" w:rsidP="008B1BF8">
            <w:pPr>
              <w:spacing w:after="10" w:line="240" w:lineRule="auto"/>
              <w:jc w:val="both"/>
              <w:rPr>
                <w:b/>
                <w:bCs/>
              </w:rPr>
            </w:pPr>
            <w:r w:rsidRPr="00E276AD">
              <w:rPr>
                <w:b/>
                <w:bCs/>
              </w:rPr>
              <w:t xml:space="preserve">S4C </w:t>
            </w:r>
            <w:r w:rsidR="00012689">
              <w:rPr>
                <w:b/>
                <w:bCs/>
              </w:rPr>
              <w:t xml:space="preserve">Vulnerable </w:t>
            </w:r>
            <w:r w:rsidR="002C78ED">
              <w:rPr>
                <w:b/>
                <w:bCs/>
              </w:rPr>
              <w:t>People</w:t>
            </w:r>
            <w:r w:rsidR="002C78ED" w:rsidRPr="00E276AD">
              <w:rPr>
                <w:b/>
                <w:bCs/>
              </w:rPr>
              <w:t xml:space="preserve"> </w:t>
            </w:r>
            <w:r w:rsidRPr="00E276AD">
              <w:rPr>
                <w:b/>
                <w:bCs/>
              </w:rPr>
              <w:t>Policy</w:t>
            </w:r>
          </w:p>
          <w:p w14:paraId="004EE320" w14:textId="636317B4" w:rsidR="00714535" w:rsidRPr="00E276AD" w:rsidRDefault="00D13CDD" w:rsidP="008B1BF8">
            <w:pPr>
              <w:spacing w:after="10" w:line="240" w:lineRule="auto"/>
              <w:jc w:val="both"/>
              <w:rPr>
                <w:bCs/>
              </w:rPr>
            </w:pPr>
            <w:r>
              <w:rPr>
                <w:bCs/>
              </w:rPr>
              <w:t>J</w:t>
            </w:r>
            <w:r w:rsidR="00AF65D3">
              <w:rPr>
                <w:bCs/>
              </w:rPr>
              <w:t>anuary 2024</w:t>
            </w:r>
          </w:p>
        </w:tc>
      </w:tr>
    </w:tbl>
    <w:p w14:paraId="5FD60BC0" w14:textId="77777777" w:rsidR="009A4045" w:rsidRPr="00E276AD" w:rsidRDefault="009A4045" w:rsidP="008B1BF8">
      <w:pPr>
        <w:spacing w:after="10" w:line="240" w:lineRule="auto"/>
        <w:ind w:left="737"/>
        <w:jc w:val="both"/>
      </w:pPr>
    </w:p>
    <w:p w14:paraId="318DA4E2" w14:textId="77777777" w:rsidR="009A4045" w:rsidRPr="00E276AD" w:rsidRDefault="009A4045" w:rsidP="008B1BF8">
      <w:pPr>
        <w:spacing w:after="10" w:line="240" w:lineRule="auto"/>
        <w:ind w:left="737"/>
        <w:jc w:val="both"/>
      </w:pPr>
    </w:p>
    <w:p w14:paraId="21FB4DAB" w14:textId="77777777" w:rsidR="00661452" w:rsidRPr="00E276AD" w:rsidRDefault="00661452" w:rsidP="008B1BF8">
      <w:pPr>
        <w:ind w:left="709" w:firstLine="142"/>
        <w:jc w:val="both"/>
        <w:rPr>
          <w:b/>
        </w:rPr>
      </w:pPr>
      <w:r w:rsidRPr="00E276AD">
        <w:rPr>
          <w:b/>
        </w:rPr>
        <w:t>CONTENT</w:t>
      </w:r>
    </w:p>
    <w:p w14:paraId="40DF4B40" w14:textId="2F3F085A" w:rsidR="00875224" w:rsidRDefault="00661452" w:rsidP="008B1BF8">
      <w:pPr>
        <w:numPr>
          <w:ilvl w:val="0"/>
          <w:numId w:val="1"/>
        </w:numPr>
        <w:tabs>
          <w:tab w:val="clear" w:pos="720"/>
          <w:tab w:val="num" w:pos="1418"/>
        </w:tabs>
        <w:spacing w:after="0" w:line="240" w:lineRule="auto"/>
        <w:ind w:left="1418" w:hanging="567"/>
        <w:jc w:val="both"/>
      </w:pPr>
      <w:r w:rsidRPr="00E276AD">
        <w:t>Introduction and Purpose</w:t>
      </w:r>
    </w:p>
    <w:p w14:paraId="20302C7B" w14:textId="0640DB2C" w:rsidR="001B5EAF" w:rsidRDefault="001B5EAF" w:rsidP="008B1BF8">
      <w:pPr>
        <w:numPr>
          <w:ilvl w:val="0"/>
          <w:numId w:val="1"/>
        </w:numPr>
        <w:tabs>
          <w:tab w:val="clear" w:pos="720"/>
          <w:tab w:val="num" w:pos="1418"/>
        </w:tabs>
        <w:spacing w:after="0" w:line="240" w:lineRule="auto"/>
        <w:ind w:left="1418" w:hanging="567"/>
        <w:jc w:val="both"/>
      </w:pPr>
      <w:r>
        <w:t>Commissioning</w:t>
      </w:r>
    </w:p>
    <w:p w14:paraId="51569D95" w14:textId="77777777" w:rsidR="00875224" w:rsidRDefault="00661452" w:rsidP="008B1BF8">
      <w:pPr>
        <w:numPr>
          <w:ilvl w:val="0"/>
          <w:numId w:val="1"/>
        </w:numPr>
        <w:tabs>
          <w:tab w:val="clear" w:pos="720"/>
          <w:tab w:val="num" w:pos="1418"/>
        </w:tabs>
        <w:spacing w:after="0" w:line="240" w:lineRule="auto"/>
        <w:ind w:left="1418" w:hanging="567"/>
        <w:jc w:val="both"/>
      </w:pPr>
      <w:r w:rsidRPr="00E276AD">
        <w:tab/>
      </w:r>
      <w:r w:rsidR="00875224">
        <w:t>Consents</w:t>
      </w:r>
    </w:p>
    <w:p w14:paraId="02E833FA" w14:textId="77777777" w:rsidR="00875224" w:rsidRDefault="00875224" w:rsidP="008B1BF8">
      <w:pPr>
        <w:numPr>
          <w:ilvl w:val="0"/>
          <w:numId w:val="1"/>
        </w:numPr>
        <w:tabs>
          <w:tab w:val="clear" w:pos="720"/>
          <w:tab w:val="num" w:pos="1418"/>
        </w:tabs>
        <w:spacing w:after="0" w:line="240" w:lineRule="auto"/>
        <w:ind w:left="1418" w:hanging="567"/>
        <w:jc w:val="both"/>
      </w:pPr>
      <w:r>
        <w:t>Capacity</w:t>
      </w:r>
    </w:p>
    <w:p w14:paraId="211E9EF1" w14:textId="77777777" w:rsidR="00875224" w:rsidRDefault="00D65FC2" w:rsidP="008B1BF8">
      <w:pPr>
        <w:numPr>
          <w:ilvl w:val="0"/>
          <w:numId w:val="1"/>
        </w:numPr>
        <w:tabs>
          <w:tab w:val="clear" w:pos="720"/>
          <w:tab w:val="num" w:pos="1418"/>
        </w:tabs>
        <w:spacing w:after="0" w:line="240" w:lineRule="auto"/>
        <w:ind w:left="1418" w:hanging="567"/>
        <w:jc w:val="both"/>
      </w:pPr>
      <w:r>
        <w:t xml:space="preserve">Working </w:t>
      </w:r>
      <w:r w:rsidR="00875224">
        <w:t>with Vulnerable People</w:t>
      </w:r>
    </w:p>
    <w:p w14:paraId="2EC441F8" w14:textId="03D8124F" w:rsidR="00875224" w:rsidRDefault="00875224" w:rsidP="008B1BF8">
      <w:pPr>
        <w:numPr>
          <w:ilvl w:val="0"/>
          <w:numId w:val="1"/>
        </w:numPr>
        <w:tabs>
          <w:tab w:val="clear" w:pos="720"/>
          <w:tab w:val="num" w:pos="1418"/>
        </w:tabs>
        <w:spacing w:after="0" w:line="240" w:lineRule="auto"/>
        <w:ind w:left="1418" w:hanging="567"/>
        <w:jc w:val="both"/>
      </w:pPr>
      <w:r>
        <w:t>Privacy</w:t>
      </w:r>
    </w:p>
    <w:p w14:paraId="1343141A" w14:textId="28A6CB3D" w:rsidR="00E4206A" w:rsidRDefault="00E4206A" w:rsidP="008B1BF8">
      <w:pPr>
        <w:numPr>
          <w:ilvl w:val="0"/>
          <w:numId w:val="1"/>
        </w:numPr>
        <w:tabs>
          <w:tab w:val="clear" w:pos="720"/>
          <w:tab w:val="num" w:pos="1418"/>
        </w:tabs>
        <w:spacing w:after="0" w:line="240" w:lineRule="auto"/>
        <w:ind w:left="1418" w:hanging="567"/>
        <w:jc w:val="both"/>
      </w:pPr>
      <w:r>
        <w:t>Anonymity</w:t>
      </w:r>
    </w:p>
    <w:p w14:paraId="2A0BA037" w14:textId="44648B20" w:rsidR="00D17AEA" w:rsidRDefault="00D17AEA" w:rsidP="008B1BF8">
      <w:pPr>
        <w:numPr>
          <w:ilvl w:val="0"/>
          <w:numId w:val="1"/>
        </w:numPr>
        <w:tabs>
          <w:tab w:val="clear" w:pos="720"/>
          <w:tab w:val="num" w:pos="1418"/>
        </w:tabs>
        <w:spacing w:after="0" w:line="240" w:lineRule="auto"/>
        <w:ind w:left="1418" w:hanging="567"/>
        <w:jc w:val="both"/>
      </w:pPr>
      <w:r>
        <w:t>Aftercare</w:t>
      </w:r>
    </w:p>
    <w:p w14:paraId="3A239D56" w14:textId="77777777" w:rsidR="00661452" w:rsidRPr="00E276AD" w:rsidRDefault="00875224" w:rsidP="008B1BF8">
      <w:pPr>
        <w:numPr>
          <w:ilvl w:val="0"/>
          <w:numId w:val="1"/>
        </w:numPr>
        <w:tabs>
          <w:tab w:val="clear" w:pos="720"/>
          <w:tab w:val="num" w:pos="1418"/>
        </w:tabs>
        <w:spacing w:after="0" w:line="240" w:lineRule="auto"/>
        <w:ind w:left="1418" w:hanging="567"/>
        <w:jc w:val="both"/>
      </w:pPr>
      <w:r>
        <w:t>Online Activity and Social Media</w:t>
      </w:r>
      <w:r w:rsidR="00661452" w:rsidRPr="00E276AD">
        <w:tab/>
      </w:r>
      <w:r w:rsidR="00661452" w:rsidRPr="00E276AD">
        <w:tab/>
      </w:r>
    </w:p>
    <w:p w14:paraId="0357C8B5" w14:textId="77777777" w:rsidR="00F548F7" w:rsidRDefault="00F548F7" w:rsidP="008B1BF8">
      <w:pPr>
        <w:ind w:left="709" w:firstLine="142"/>
        <w:jc w:val="both"/>
      </w:pPr>
    </w:p>
    <w:p w14:paraId="59BB80C6" w14:textId="17CEE8E9" w:rsidR="005B3CC7" w:rsidRDefault="005B3CC7" w:rsidP="008B1BF8">
      <w:pPr>
        <w:ind w:left="709" w:firstLine="142"/>
        <w:jc w:val="both"/>
      </w:pPr>
      <w:r w:rsidRPr="005B3CC7">
        <w:t xml:space="preserve">Appendix </w:t>
      </w:r>
      <w:r>
        <w:t>1</w:t>
      </w:r>
      <w:r w:rsidRPr="005B3CC7">
        <w:t xml:space="preserve">: </w:t>
      </w:r>
      <w:r>
        <w:t xml:space="preserve">Safeguarding </w:t>
      </w:r>
      <w:r w:rsidRPr="005B3CC7">
        <w:t xml:space="preserve">Vulnerable </w:t>
      </w:r>
      <w:r w:rsidR="00917F73">
        <w:t>People</w:t>
      </w:r>
      <w:r w:rsidR="00917F73" w:rsidRPr="005B3CC7">
        <w:t xml:space="preserve"> </w:t>
      </w:r>
      <w:r w:rsidRPr="005B3CC7">
        <w:t>Self Declaration Form</w:t>
      </w:r>
    </w:p>
    <w:p w14:paraId="77C9E1B2" w14:textId="568E064B" w:rsidR="00AF65D3" w:rsidRDefault="00AF65D3" w:rsidP="008B1BF8">
      <w:pPr>
        <w:ind w:left="709" w:firstLine="142"/>
        <w:jc w:val="both"/>
      </w:pPr>
    </w:p>
    <w:p w14:paraId="2194569F" w14:textId="50E5F460" w:rsidR="00AF65D3" w:rsidRDefault="00AF65D3" w:rsidP="008B1BF8">
      <w:pPr>
        <w:ind w:left="709" w:firstLine="142"/>
        <w:jc w:val="both"/>
      </w:pPr>
    </w:p>
    <w:p w14:paraId="20DCF878" w14:textId="5F671710" w:rsidR="00AF65D3" w:rsidRDefault="00AF65D3" w:rsidP="008B1BF8">
      <w:pPr>
        <w:ind w:left="709" w:firstLine="142"/>
        <w:jc w:val="both"/>
      </w:pPr>
    </w:p>
    <w:p w14:paraId="10ECB10F" w14:textId="77777777" w:rsidR="00AF65D3" w:rsidRPr="00E276AD" w:rsidRDefault="00AF65D3" w:rsidP="008B1BF8">
      <w:pPr>
        <w:ind w:left="709" w:firstLine="142"/>
        <w:jc w:val="both"/>
      </w:pPr>
    </w:p>
    <w:p w14:paraId="18F1022C" w14:textId="77777777" w:rsidR="00AF65D3" w:rsidRDefault="00AF65D3" w:rsidP="00AF65D3">
      <w:pPr>
        <w:ind w:left="360"/>
        <w:jc w:val="center"/>
        <w:rPr>
          <w:b/>
          <w:bCs/>
        </w:rPr>
      </w:pPr>
      <w:r>
        <w:rPr>
          <w:b/>
          <w:bCs/>
        </w:rPr>
        <w:t xml:space="preserve">THIS DOCUMENT IS AVAILABLE IN WELSH AT </w:t>
      </w:r>
    </w:p>
    <w:p w14:paraId="09480E8A" w14:textId="38110494" w:rsidR="00661452" w:rsidRPr="00E276AD" w:rsidRDefault="00AF65D3" w:rsidP="00A26B29">
      <w:pPr>
        <w:ind w:left="360"/>
        <w:jc w:val="center"/>
      </w:pPr>
      <w:r w:rsidRPr="00AF65D3">
        <w:t>https://www.s4c.cymru/cy/cynhyrchu/page/1154/canllawiau/</w:t>
      </w:r>
      <w:r w:rsidR="00661452" w:rsidRPr="00E276AD">
        <w:br w:type="page"/>
      </w:r>
    </w:p>
    <w:p w14:paraId="2C62791C" w14:textId="77777777" w:rsidR="0031186F" w:rsidRPr="00E276AD" w:rsidRDefault="00661452" w:rsidP="00875224">
      <w:pPr>
        <w:numPr>
          <w:ilvl w:val="0"/>
          <w:numId w:val="13"/>
        </w:numPr>
        <w:spacing w:after="0"/>
        <w:ind w:left="1702" w:hanging="851"/>
        <w:rPr>
          <w:b/>
        </w:rPr>
      </w:pPr>
      <w:r w:rsidRPr="00E276AD">
        <w:rPr>
          <w:b/>
        </w:rPr>
        <w:lastRenderedPageBreak/>
        <w:t xml:space="preserve">Introduction and Purpose </w:t>
      </w:r>
      <w:r w:rsidR="0031186F" w:rsidRPr="00E276AD">
        <w:rPr>
          <w:b/>
        </w:rPr>
        <w:br/>
      </w:r>
    </w:p>
    <w:p w14:paraId="0927F1E7" w14:textId="5EB741C8" w:rsidR="00050F8B" w:rsidRDefault="00B4689F" w:rsidP="00050F8B">
      <w:pPr>
        <w:numPr>
          <w:ilvl w:val="1"/>
          <w:numId w:val="2"/>
        </w:numPr>
        <w:spacing w:after="0" w:line="240" w:lineRule="auto"/>
        <w:ind w:left="1702" w:hanging="851"/>
        <w:jc w:val="both"/>
      </w:pPr>
      <w:r w:rsidRPr="00E276AD">
        <w:t>The purpose of this P</w:t>
      </w:r>
      <w:r w:rsidR="00661452" w:rsidRPr="00E276AD">
        <w:t xml:space="preserve">olicy is to provide consistent and clear </w:t>
      </w:r>
      <w:r w:rsidR="00DB7E6A">
        <w:t>guidance</w:t>
      </w:r>
      <w:r w:rsidR="00DB7E6A" w:rsidRPr="00E276AD">
        <w:t xml:space="preserve"> </w:t>
      </w:r>
      <w:r w:rsidR="00661452" w:rsidRPr="00E276AD">
        <w:t>and</w:t>
      </w:r>
      <w:r w:rsidR="00DB7E6A">
        <w:t xml:space="preserve"> to set out S4C’s</w:t>
      </w:r>
      <w:r w:rsidR="00661452" w:rsidRPr="00E276AD">
        <w:t xml:space="preserve"> expectations as to how S4C </w:t>
      </w:r>
      <w:r w:rsidR="00DB7E6A">
        <w:t>aims to ensure that</w:t>
      </w:r>
      <w:r w:rsidR="00DB7E6A" w:rsidRPr="00E276AD">
        <w:t xml:space="preserve"> </w:t>
      </w:r>
      <w:r w:rsidR="003A0ABF">
        <w:t xml:space="preserve">Vulnerable </w:t>
      </w:r>
      <w:r w:rsidR="002C78ED">
        <w:t>People</w:t>
      </w:r>
      <w:r w:rsidR="00DB7E6A">
        <w:t xml:space="preserve"> are given a voice within a responsible environment consistent with the principles of the Ofcom </w:t>
      </w:r>
      <w:r w:rsidR="008D6D90">
        <w:t xml:space="preserve">Broadcasting </w:t>
      </w:r>
      <w:r w:rsidR="00DB7E6A">
        <w:t>Code.</w:t>
      </w:r>
      <w:r w:rsidR="00661452" w:rsidRPr="00E276AD">
        <w:t xml:space="preserve">  Although drawn up on the basis of relevant law and guidance</w:t>
      </w:r>
      <w:r w:rsidRPr="00E276AD">
        <w:t>, this P</w:t>
      </w:r>
      <w:r w:rsidR="00661452" w:rsidRPr="00E276AD">
        <w:t>olicy is not intended to provide legal advice</w:t>
      </w:r>
      <w:r w:rsidR="00050F8B" w:rsidRPr="00E276AD">
        <w:t xml:space="preserve">. Producers and external suppliers should seek their own legal advice.  </w:t>
      </w:r>
    </w:p>
    <w:p w14:paraId="39F42453" w14:textId="77777777" w:rsidR="00BD1454" w:rsidRDefault="00BD1454" w:rsidP="00970138">
      <w:pPr>
        <w:spacing w:after="0" w:line="240" w:lineRule="auto"/>
        <w:ind w:left="1702"/>
        <w:jc w:val="both"/>
      </w:pPr>
    </w:p>
    <w:p w14:paraId="48567285" w14:textId="1EBB5D22" w:rsidR="00BD1454" w:rsidRDefault="00661452" w:rsidP="00970138">
      <w:pPr>
        <w:numPr>
          <w:ilvl w:val="1"/>
          <w:numId w:val="2"/>
        </w:numPr>
        <w:spacing w:after="0" w:line="240" w:lineRule="auto"/>
        <w:ind w:left="1701" w:hanging="851"/>
        <w:jc w:val="both"/>
      </w:pPr>
      <w:r w:rsidRPr="00E276AD">
        <w:t xml:space="preserve">S4C Staff </w:t>
      </w:r>
      <w:r w:rsidR="00917F73">
        <w:t xml:space="preserve">(including </w:t>
      </w:r>
      <w:r w:rsidR="00917F73" w:rsidRPr="00917F73">
        <w:t>all employees, freelance staff, agents, consultants, volunteers and others working on behalf of or providing services to S4C</w:t>
      </w:r>
      <w:r w:rsidR="00917F73">
        <w:t xml:space="preserve">) </w:t>
      </w:r>
      <w:r w:rsidRPr="00E276AD">
        <w:t xml:space="preserve">should consult </w:t>
      </w:r>
      <w:r w:rsidR="00C547FA" w:rsidRPr="00E276AD">
        <w:t>t</w:t>
      </w:r>
      <w:r w:rsidRPr="00E276AD">
        <w:t xml:space="preserve">he S4C Legal </w:t>
      </w:r>
      <w:r w:rsidR="007B2049">
        <w:t>Department</w:t>
      </w:r>
      <w:r w:rsidR="007B2049" w:rsidRPr="00E276AD">
        <w:t xml:space="preserve"> </w:t>
      </w:r>
      <w:r w:rsidRPr="00E276AD">
        <w:t xml:space="preserve">for any specific legal queries in relation to the welfare of </w:t>
      </w:r>
      <w:r w:rsidR="003A0ABF">
        <w:t xml:space="preserve">Vulnerable </w:t>
      </w:r>
      <w:r w:rsidR="002C78ED">
        <w:t>People</w:t>
      </w:r>
      <w:r w:rsidR="00BD1454">
        <w:t>.</w:t>
      </w:r>
    </w:p>
    <w:p w14:paraId="4856E82C" w14:textId="77777777" w:rsidR="00A11248" w:rsidRDefault="00A11248" w:rsidP="00970138">
      <w:pPr>
        <w:spacing w:after="0" w:line="240" w:lineRule="auto"/>
        <w:jc w:val="both"/>
      </w:pPr>
    </w:p>
    <w:p w14:paraId="4915B5B4" w14:textId="6B913E90" w:rsidR="00A11248" w:rsidRDefault="00504470" w:rsidP="008B1BF8">
      <w:pPr>
        <w:numPr>
          <w:ilvl w:val="1"/>
          <w:numId w:val="2"/>
        </w:numPr>
        <w:spacing w:after="0" w:line="240" w:lineRule="auto"/>
        <w:ind w:left="1701" w:hanging="850"/>
        <w:jc w:val="both"/>
      </w:pPr>
      <w:r>
        <w:t>T</w:t>
      </w:r>
      <w:r w:rsidR="00C9128C">
        <w:t>his Policy</w:t>
      </w:r>
      <w:r>
        <w:t xml:space="preserve"> </w:t>
      </w:r>
      <w:r w:rsidR="0050236E">
        <w:t>deals</w:t>
      </w:r>
      <w:r>
        <w:t xml:space="preserve"> with vulnerable </w:t>
      </w:r>
      <w:r w:rsidR="0050236E">
        <w:t>people, which includes both vulnerable adults and children.  However,</w:t>
      </w:r>
      <w:r w:rsidR="00D97F08">
        <w:t xml:space="preserve"> </w:t>
      </w:r>
      <w:r w:rsidR="00C9128C">
        <w:t>w</w:t>
      </w:r>
      <w:r w:rsidR="00DB7E6A">
        <w:t>hen dealing</w:t>
      </w:r>
      <w:r>
        <w:t xml:space="preserve"> specifically</w:t>
      </w:r>
      <w:r w:rsidR="00DB7E6A">
        <w:t xml:space="preserve"> with Children, the </w:t>
      </w:r>
      <w:r w:rsidR="007E4951">
        <w:t xml:space="preserve">S4C Child Protection Policy </w:t>
      </w:r>
      <w:r w:rsidR="00DB7E6A">
        <w:t xml:space="preserve">available </w:t>
      </w:r>
      <w:r w:rsidR="007E4951">
        <w:t xml:space="preserve">on S4C’s production website </w:t>
      </w:r>
      <w:r w:rsidR="00DB7E6A">
        <w:t xml:space="preserve">should </w:t>
      </w:r>
      <w:r w:rsidR="00955872">
        <w:t xml:space="preserve">also </w:t>
      </w:r>
      <w:r w:rsidR="00DB7E6A">
        <w:t>be consulted</w:t>
      </w:r>
      <w:r w:rsidR="00734E48">
        <w:t>.</w:t>
      </w:r>
    </w:p>
    <w:p w14:paraId="60E88C6F" w14:textId="77777777" w:rsidR="009E62D0" w:rsidRDefault="009E62D0" w:rsidP="0038107F">
      <w:pPr>
        <w:pStyle w:val="ListParagraph"/>
      </w:pPr>
    </w:p>
    <w:p w14:paraId="54607A8E" w14:textId="571BA5B2" w:rsidR="00CF5DFE" w:rsidRDefault="00BC4EDD" w:rsidP="008B1BF8">
      <w:pPr>
        <w:numPr>
          <w:ilvl w:val="1"/>
          <w:numId w:val="2"/>
        </w:numPr>
        <w:spacing w:after="0" w:line="240" w:lineRule="auto"/>
        <w:ind w:left="1701" w:hanging="850"/>
        <w:jc w:val="both"/>
      </w:pPr>
      <w:r>
        <w:t>T</w:t>
      </w:r>
      <w:r w:rsidR="0038107F" w:rsidRPr="00874F92">
        <w:t>he Ofcom Broadcasting Code</w:t>
      </w:r>
      <w:r w:rsidR="00050F8B">
        <w:t xml:space="preserve"> states </w:t>
      </w:r>
      <w:r>
        <w:t xml:space="preserve">that </w:t>
      </w:r>
      <w:r w:rsidR="0038107F" w:rsidRPr="00874F92">
        <w:t xml:space="preserve">the meaning of </w:t>
      </w:r>
      <w:r w:rsidR="002C78ED">
        <w:t>“</w:t>
      </w:r>
      <w:r w:rsidR="0038107F" w:rsidRPr="00874F92">
        <w:t>Vulnerable People</w:t>
      </w:r>
      <w:r w:rsidR="002C78ED">
        <w:t>”</w:t>
      </w:r>
      <w:r w:rsidR="0038107F" w:rsidRPr="00874F92">
        <w:t xml:space="preserve"> varies, but may include those with learning difficulties, those with mental health problems, people with brain damage or forms of dementia, people who have been traumatised or who are sick or terminally ill.  This list is not exhaustive a</w:t>
      </w:r>
      <w:r w:rsidR="005A26C5">
        <w:t>s</w:t>
      </w:r>
      <w:r w:rsidR="0038107F" w:rsidRPr="00874F92">
        <w:t xml:space="preserve"> </w:t>
      </w:r>
      <w:r w:rsidR="005A26C5">
        <w:t>vulnerability can be found in people</w:t>
      </w:r>
      <w:r w:rsidR="00C72895">
        <w:t xml:space="preserve"> of old age or</w:t>
      </w:r>
      <w:r w:rsidR="005A26C5">
        <w:t xml:space="preserve"> when encountering what they perceive to be situations</w:t>
      </w:r>
      <w:r>
        <w:t xml:space="preserve"> outside their comfort zone</w:t>
      </w:r>
      <w:r w:rsidR="008534EE">
        <w:t>.</w:t>
      </w:r>
      <w:r w:rsidR="008E61A1" w:rsidRPr="008E61A1">
        <w:t xml:space="preserve"> </w:t>
      </w:r>
      <w:r w:rsidR="008E61A1">
        <w:t>P</w:t>
      </w:r>
      <w:r w:rsidR="008E61A1" w:rsidRPr="00C95A5A">
        <w:t xml:space="preserve">eople who are very recently bereaved </w:t>
      </w:r>
      <w:r w:rsidR="008E61A1">
        <w:t>may also be deemed to be vulnerable</w:t>
      </w:r>
      <w:r w:rsidR="008E61A1" w:rsidRPr="00C95A5A">
        <w:t>.</w:t>
      </w:r>
    </w:p>
    <w:p w14:paraId="144A7992" w14:textId="77777777" w:rsidR="006C243C" w:rsidRDefault="006C243C" w:rsidP="006C243C">
      <w:pPr>
        <w:spacing w:after="0" w:line="240" w:lineRule="auto"/>
        <w:jc w:val="both"/>
      </w:pPr>
    </w:p>
    <w:p w14:paraId="0826A3AB" w14:textId="77777777" w:rsidR="005A26C5" w:rsidRDefault="005A26C5" w:rsidP="008B1BF8">
      <w:pPr>
        <w:numPr>
          <w:ilvl w:val="1"/>
          <w:numId w:val="2"/>
        </w:numPr>
        <w:spacing w:after="0" w:line="240" w:lineRule="auto"/>
        <w:ind w:left="1701" w:hanging="850"/>
        <w:jc w:val="both"/>
      </w:pPr>
      <w:r>
        <w:t xml:space="preserve">When working with Vulnerable People and </w:t>
      </w:r>
      <w:r w:rsidR="00574AD4">
        <w:t xml:space="preserve">in particular when </w:t>
      </w:r>
      <w:r>
        <w:t xml:space="preserve">featuring them in our </w:t>
      </w:r>
      <w:r w:rsidR="00F969D5">
        <w:t>output</w:t>
      </w:r>
      <w:r>
        <w:t xml:space="preserve">, S4C is committed to ensuring that </w:t>
      </w:r>
      <w:r w:rsidR="00BC4EDD">
        <w:t>its duty of care to those people is properly discharged</w:t>
      </w:r>
      <w:r>
        <w:t>.</w:t>
      </w:r>
    </w:p>
    <w:p w14:paraId="4D61917D" w14:textId="77777777" w:rsidR="005B3CC7" w:rsidRDefault="005B3CC7" w:rsidP="00942443">
      <w:pPr>
        <w:pStyle w:val="ListParagraph"/>
      </w:pPr>
    </w:p>
    <w:p w14:paraId="3317555B" w14:textId="7ECDAEFC" w:rsidR="005B3CC7" w:rsidRDefault="005B3CC7" w:rsidP="008B1BF8">
      <w:pPr>
        <w:numPr>
          <w:ilvl w:val="1"/>
          <w:numId w:val="2"/>
        </w:numPr>
        <w:spacing w:after="0" w:line="240" w:lineRule="auto"/>
        <w:ind w:left="1701" w:hanging="850"/>
        <w:jc w:val="both"/>
      </w:pPr>
      <w:r w:rsidRPr="005B3CC7">
        <w:t xml:space="preserve">All </w:t>
      </w:r>
      <w:r w:rsidR="00917F73">
        <w:t xml:space="preserve">S4C </w:t>
      </w:r>
      <w:r w:rsidRPr="005B3CC7">
        <w:t xml:space="preserve">Staff whose activities bring them into contact with vulnerable </w:t>
      </w:r>
      <w:r w:rsidR="00C93629">
        <w:t>people</w:t>
      </w:r>
      <w:r w:rsidRPr="005B3CC7">
        <w:t xml:space="preserve"> will be required to sign the declaration contained in the Safeguarding Vulnerable </w:t>
      </w:r>
      <w:r w:rsidR="00917F73">
        <w:t>People</w:t>
      </w:r>
      <w:r>
        <w:t xml:space="preserve"> Self Declaration Form attached at Appendix 1</w:t>
      </w:r>
      <w:r w:rsidRPr="005B3CC7">
        <w:t>.</w:t>
      </w:r>
    </w:p>
    <w:p w14:paraId="406ECD46" w14:textId="77777777" w:rsidR="00163DD3" w:rsidRDefault="00163DD3" w:rsidP="00A26B29">
      <w:pPr>
        <w:pStyle w:val="ListParagraph"/>
      </w:pPr>
    </w:p>
    <w:p w14:paraId="33BEF94D" w14:textId="31F2666C" w:rsidR="00163DD3" w:rsidRPr="00A26B29" w:rsidRDefault="004F7548" w:rsidP="00A26B29">
      <w:pPr>
        <w:numPr>
          <w:ilvl w:val="0"/>
          <w:numId w:val="2"/>
        </w:numPr>
        <w:spacing w:before="240" w:after="0" w:line="240" w:lineRule="auto"/>
        <w:ind w:left="851"/>
        <w:jc w:val="both"/>
        <w:rPr>
          <w:b/>
          <w:bCs/>
        </w:rPr>
      </w:pPr>
      <w:r>
        <w:rPr>
          <w:b/>
          <w:bCs/>
        </w:rPr>
        <w:t xml:space="preserve">    </w:t>
      </w:r>
      <w:r w:rsidR="00163DD3" w:rsidRPr="00A26B29">
        <w:rPr>
          <w:b/>
          <w:bCs/>
        </w:rPr>
        <w:t xml:space="preserve">Commissioning </w:t>
      </w:r>
    </w:p>
    <w:p w14:paraId="213261F2" w14:textId="0C8D3768" w:rsidR="00BF2EEE" w:rsidRDefault="004F7548" w:rsidP="005A1C20">
      <w:pPr>
        <w:spacing w:before="240" w:after="0" w:line="240" w:lineRule="auto"/>
        <w:ind w:left="1701" w:hanging="850"/>
        <w:jc w:val="both"/>
      </w:pPr>
      <w:r>
        <w:t>2.1</w:t>
      </w:r>
      <w:r>
        <w:tab/>
        <w:t>As part of the commissioning process, producers should discuss with the relevant  commissioner, any intention to include Vulnerable People in the programme so that S4C can monitor that the appropriate safeguards are in place.</w:t>
      </w:r>
    </w:p>
    <w:p w14:paraId="2093562B" w14:textId="6B9ABD95" w:rsidR="00692932" w:rsidRDefault="00692932" w:rsidP="005A1C20">
      <w:pPr>
        <w:spacing w:before="240" w:after="0" w:line="240" w:lineRule="auto"/>
        <w:ind w:left="1701" w:hanging="850"/>
        <w:jc w:val="both"/>
      </w:pPr>
      <w:r>
        <w:t>2.2</w:t>
      </w:r>
      <w:r>
        <w:tab/>
        <w:t xml:space="preserve">Where appropriate, </w:t>
      </w:r>
      <w:r w:rsidR="00216538">
        <w:t xml:space="preserve">and in consideration of the nature of the programme, </w:t>
      </w:r>
      <w:r w:rsidR="008B69B1">
        <w:t>the producer should prepare a protocol detailing the steps the producer will take to ensure the welfare of vulnerable people contributing to the programme (“the Protocol”)</w:t>
      </w:r>
      <w:r w:rsidR="00EA3143">
        <w:t>.</w:t>
      </w:r>
    </w:p>
    <w:p w14:paraId="16CE1640" w14:textId="45D553E4" w:rsidR="00412165" w:rsidRDefault="00412165" w:rsidP="005A1C20">
      <w:pPr>
        <w:spacing w:before="240" w:after="0" w:line="240" w:lineRule="auto"/>
        <w:ind w:left="1701" w:hanging="850"/>
        <w:jc w:val="both"/>
      </w:pPr>
      <w:r>
        <w:t>2.3</w:t>
      </w:r>
      <w:r>
        <w:tab/>
        <w:t xml:space="preserve">S4C requires that the Protocol </w:t>
      </w:r>
      <w:r w:rsidR="0062509A">
        <w:t>applies the principles noted in this policy to the circumstances of the production.  The production company should refer to S4C’s guidance on contributor welfare also.</w:t>
      </w:r>
    </w:p>
    <w:p w14:paraId="24003316" w14:textId="68E1C2D9" w:rsidR="0062509A" w:rsidRDefault="0062509A" w:rsidP="00A26B29">
      <w:pPr>
        <w:spacing w:before="240" w:after="0" w:line="240" w:lineRule="auto"/>
        <w:ind w:left="1701" w:hanging="850"/>
        <w:jc w:val="both"/>
      </w:pPr>
      <w:r>
        <w:t>2.4</w:t>
      </w:r>
      <w:r>
        <w:tab/>
        <w:t>The producer should provide S4C with the Protocol before production of the programme commences.</w:t>
      </w:r>
    </w:p>
    <w:p w14:paraId="24E44B3F" w14:textId="77777777" w:rsidR="00592509" w:rsidRPr="00E276AD" w:rsidRDefault="00592509" w:rsidP="00592509">
      <w:pPr>
        <w:spacing w:after="0" w:line="240" w:lineRule="auto"/>
        <w:ind w:left="1418"/>
        <w:jc w:val="both"/>
      </w:pPr>
    </w:p>
    <w:p w14:paraId="65276A8E" w14:textId="77777777" w:rsidR="00250BD1" w:rsidRPr="000423B2" w:rsidRDefault="00250BD1" w:rsidP="00A26B29">
      <w:pPr>
        <w:pStyle w:val="ListParagraph"/>
        <w:numPr>
          <w:ilvl w:val="0"/>
          <w:numId w:val="52"/>
        </w:numPr>
        <w:ind w:left="1985" w:hanging="992"/>
        <w:jc w:val="both"/>
        <w:rPr>
          <w:rFonts w:ascii="Verdana" w:hAnsi="Verdana"/>
          <w:b/>
        </w:rPr>
      </w:pPr>
      <w:r w:rsidRPr="000423B2">
        <w:rPr>
          <w:rFonts w:ascii="Verdana" w:hAnsi="Verdana"/>
          <w:b/>
        </w:rPr>
        <w:t>Consents</w:t>
      </w:r>
    </w:p>
    <w:p w14:paraId="342FAC0B" w14:textId="77777777" w:rsidR="00661452" w:rsidRPr="00BC0459" w:rsidRDefault="00661452" w:rsidP="008B1BF8">
      <w:pPr>
        <w:pStyle w:val="ListParagraph"/>
        <w:ind w:left="709" w:hanging="709"/>
        <w:jc w:val="both"/>
        <w:rPr>
          <w:rFonts w:ascii="Verdana" w:hAnsi="Verdana"/>
          <w:szCs w:val="20"/>
        </w:rPr>
      </w:pPr>
    </w:p>
    <w:p w14:paraId="23E7EF66" w14:textId="1CCB7906" w:rsidR="001D569B" w:rsidRDefault="001D569B" w:rsidP="00A26B29">
      <w:pPr>
        <w:pStyle w:val="ListParagraph"/>
        <w:numPr>
          <w:ilvl w:val="1"/>
          <w:numId w:val="52"/>
        </w:numPr>
        <w:ind w:left="1701" w:hanging="850"/>
        <w:jc w:val="both"/>
        <w:rPr>
          <w:rFonts w:ascii="Verdana" w:hAnsi="Verdana"/>
        </w:rPr>
      </w:pPr>
      <w:r>
        <w:rPr>
          <w:rFonts w:ascii="Verdana" w:hAnsi="Verdana"/>
        </w:rPr>
        <w:t xml:space="preserve">When planning to work with Vulnerable People </w:t>
      </w:r>
      <w:r w:rsidR="00BC4EDD">
        <w:rPr>
          <w:rFonts w:ascii="Verdana" w:hAnsi="Verdana"/>
        </w:rPr>
        <w:t xml:space="preserve">specific consideration should be given to how </w:t>
      </w:r>
      <w:r>
        <w:rPr>
          <w:rFonts w:ascii="Verdana" w:hAnsi="Verdana"/>
        </w:rPr>
        <w:t xml:space="preserve">the necessary consents should be obtained i.e. </w:t>
      </w:r>
      <w:r w:rsidR="000423B2">
        <w:rPr>
          <w:rFonts w:ascii="Verdana" w:hAnsi="Verdana"/>
        </w:rPr>
        <w:t xml:space="preserve">the </w:t>
      </w:r>
      <w:r>
        <w:rPr>
          <w:rFonts w:ascii="Verdana" w:hAnsi="Verdana"/>
        </w:rPr>
        <w:t xml:space="preserve">consent to film and </w:t>
      </w:r>
      <w:r>
        <w:rPr>
          <w:rFonts w:ascii="Verdana" w:hAnsi="Verdana"/>
        </w:rPr>
        <w:lastRenderedPageBreak/>
        <w:t>broadcast</w:t>
      </w:r>
      <w:r w:rsidR="000423B2">
        <w:rPr>
          <w:rFonts w:ascii="Verdana" w:hAnsi="Verdana"/>
        </w:rPr>
        <w:t xml:space="preserve"> such individuals</w:t>
      </w:r>
      <w:r>
        <w:rPr>
          <w:rFonts w:ascii="Verdana" w:hAnsi="Verdana"/>
        </w:rPr>
        <w:t>.</w:t>
      </w:r>
      <w:r w:rsidR="002854F1">
        <w:rPr>
          <w:rFonts w:ascii="Verdana" w:hAnsi="Verdana"/>
        </w:rPr>
        <w:t xml:space="preserve">  Vulnerable contributors need all the information given to contributors generally as part of the consent procedure.</w:t>
      </w:r>
    </w:p>
    <w:p w14:paraId="13D7E7E3" w14:textId="77777777" w:rsidR="001D569B" w:rsidRDefault="001D569B" w:rsidP="000423B2">
      <w:pPr>
        <w:pStyle w:val="ListParagraph"/>
        <w:ind w:left="1701"/>
        <w:jc w:val="both"/>
        <w:rPr>
          <w:rFonts w:ascii="Verdana" w:hAnsi="Verdana"/>
        </w:rPr>
      </w:pPr>
    </w:p>
    <w:p w14:paraId="5CE79C0C" w14:textId="15F41402" w:rsidR="009D258A" w:rsidRDefault="002854F1" w:rsidP="00A26B29">
      <w:pPr>
        <w:pStyle w:val="ListParagraph"/>
        <w:numPr>
          <w:ilvl w:val="1"/>
          <w:numId w:val="52"/>
        </w:numPr>
        <w:ind w:left="1701" w:hanging="850"/>
        <w:jc w:val="both"/>
        <w:rPr>
          <w:rFonts w:ascii="Verdana" w:hAnsi="Verdana"/>
        </w:rPr>
      </w:pPr>
      <w:r>
        <w:rPr>
          <w:rFonts w:ascii="Verdana" w:hAnsi="Verdana"/>
        </w:rPr>
        <w:t xml:space="preserve">It is necessary to consider </w:t>
      </w:r>
      <w:r w:rsidR="006A48F7">
        <w:rPr>
          <w:rFonts w:ascii="Verdana" w:hAnsi="Verdana"/>
        </w:rPr>
        <w:t>whether</w:t>
      </w:r>
      <w:r>
        <w:rPr>
          <w:rFonts w:ascii="Verdana" w:hAnsi="Verdana"/>
        </w:rPr>
        <w:t xml:space="preserve"> the </w:t>
      </w:r>
      <w:r w:rsidR="00B712C7">
        <w:rPr>
          <w:rFonts w:ascii="Verdana" w:hAnsi="Verdana"/>
        </w:rPr>
        <w:t>contributor</w:t>
      </w:r>
      <w:r>
        <w:rPr>
          <w:rFonts w:ascii="Verdana" w:hAnsi="Verdana"/>
        </w:rPr>
        <w:t xml:space="preserve"> has capacity to give properly informed consent. </w:t>
      </w:r>
      <w:r w:rsidR="00B227EE">
        <w:rPr>
          <w:rFonts w:ascii="Verdana" w:hAnsi="Verdana"/>
        </w:rPr>
        <w:t xml:space="preserve">The vulnerability may mean that they are unable to make a judgement either due to a mental disorder, brain damage, learning disability, trauma, severe or terminal illness, bereavement, </w:t>
      </w:r>
      <w:r w:rsidR="00BC0459" w:rsidRPr="00BC0459">
        <w:rPr>
          <w:rFonts w:ascii="Verdana" w:hAnsi="Verdana"/>
        </w:rPr>
        <w:t xml:space="preserve">If </w:t>
      </w:r>
      <w:r w:rsidR="00BC0459">
        <w:rPr>
          <w:rFonts w:ascii="Verdana" w:hAnsi="Verdana"/>
        </w:rPr>
        <w:t xml:space="preserve">it is deemed that </w:t>
      </w:r>
      <w:r w:rsidR="00BC0459" w:rsidRPr="00BC0459">
        <w:rPr>
          <w:rFonts w:ascii="Verdana" w:hAnsi="Verdana"/>
        </w:rPr>
        <w:t xml:space="preserve">a </w:t>
      </w:r>
      <w:r w:rsidR="00BC0459">
        <w:rPr>
          <w:rFonts w:ascii="Verdana" w:hAnsi="Verdana"/>
        </w:rPr>
        <w:t xml:space="preserve">Vulnerable Person </w:t>
      </w:r>
      <w:r w:rsidR="001D569B">
        <w:rPr>
          <w:rFonts w:ascii="Verdana" w:hAnsi="Verdana"/>
        </w:rPr>
        <w:t>does not have the capacity to provide informed consent</w:t>
      </w:r>
      <w:r w:rsidR="00B779D4">
        <w:rPr>
          <w:rFonts w:ascii="Verdana" w:hAnsi="Verdana"/>
        </w:rPr>
        <w:t xml:space="preserve"> or </w:t>
      </w:r>
      <w:r w:rsidR="00FD59F8">
        <w:rPr>
          <w:rFonts w:ascii="Verdana" w:hAnsi="Verdana"/>
        </w:rPr>
        <w:t xml:space="preserve">their condition is unstable and subject to sudden deterioration </w:t>
      </w:r>
      <w:r w:rsidR="000423B2">
        <w:rPr>
          <w:rFonts w:ascii="Verdana" w:hAnsi="Verdana"/>
        </w:rPr>
        <w:t xml:space="preserve">then permission should be sought from </w:t>
      </w:r>
      <w:r w:rsidR="00FD59F8">
        <w:rPr>
          <w:rFonts w:ascii="Verdana" w:hAnsi="Verdana"/>
        </w:rPr>
        <w:t xml:space="preserve">someone over 18 with primary responsibility for their care </w:t>
      </w:r>
      <w:r w:rsidR="00AD0CE7">
        <w:rPr>
          <w:rFonts w:ascii="Verdana" w:hAnsi="Verdana"/>
        </w:rPr>
        <w:t xml:space="preserve">, unless it is </w:t>
      </w:r>
      <w:r w:rsidR="00F16C01">
        <w:rPr>
          <w:rFonts w:ascii="Verdana" w:hAnsi="Verdana"/>
        </w:rPr>
        <w:t xml:space="preserve">warranted </w:t>
      </w:r>
      <w:r w:rsidR="00AD0CE7">
        <w:rPr>
          <w:rFonts w:ascii="Verdana" w:hAnsi="Verdana"/>
        </w:rPr>
        <w:t>to proceed without it.</w:t>
      </w:r>
      <w:r w:rsidR="008534EE">
        <w:rPr>
          <w:rFonts w:ascii="Verdana" w:hAnsi="Verdana"/>
        </w:rPr>
        <w:t xml:space="preserve"> </w:t>
      </w:r>
    </w:p>
    <w:p w14:paraId="3C5A551F" w14:textId="77777777" w:rsidR="000423B2" w:rsidRPr="000423B2" w:rsidRDefault="000423B2" w:rsidP="000423B2">
      <w:pPr>
        <w:pStyle w:val="ListParagraph"/>
        <w:rPr>
          <w:rFonts w:ascii="Verdana" w:hAnsi="Verdana"/>
        </w:rPr>
      </w:pPr>
    </w:p>
    <w:p w14:paraId="70805B27" w14:textId="77777777" w:rsidR="000423B2" w:rsidRDefault="000423B2" w:rsidP="00A26B29">
      <w:pPr>
        <w:pStyle w:val="ListParagraph"/>
        <w:numPr>
          <w:ilvl w:val="1"/>
          <w:numId w:val="52"/>
        </w:numPr>
        <w:ind w:left="1701" w:hanging="850"/>
        <w:jc w:val="both"/>
        <w:rPr>
          <w:rFonts w:ascii="Verdana" w:hAnsi="Verdana"/>
        </w:rPr>
      </w:pPr>
      <w:r>
        <w:rPr>
          <w:rFonts w:ascii="Verdana" w:hAnsi="Verdana"/>
        </w:rPr>
        <w:t xml:space="preserve">Similar to the principles of child protection, </w:t>
      </w:r>
      <w:r w:rsidR="0063219D">
        <w:rPr>
          <w:rFonts w:ascii="Verdana" w:hAnsi="Verdana"/>
        </w:rPr>
        <w:t xml:space="preserve">as a rule of thumb, </w:t>
      </w:r>
      <w:r>
        <w:rPr>
          <w:rFonts w:ascii="Verdana" w:hAnsi="Verdana"/>
        </w:rPr>
        <w:t>Vulnerable People should not</w:t>
      </w:r>
      <w:r w:rsidR="0063219D">
        <w:rPr>
          <w:rFonts w:ascii="Verdana" w:hAnsi="Verdana"/>
        </w:rPr>
        <w:t xml:space="preserve"> be asked questions about private matters (see below), matters likely to be beyond their capacity or likely to put them at risk without the consent of their primary adult carer.</w:t>
      </w:r>
    </w:p>
    <w:p w14:paraId="0735DFA8" w14:textId="77777777" w:rsidR="0063219D" w:rsidRPr="00AD0CE7" w:rsidRDefault="0063219D" w:rsidP="00AD0CE7">
      <w:pPr>
        <w:pStyle w:val="ListParagraph"/>
        <w:rPr>
          <w:rFonts w:ascii="Verdana" w:hAnsi="Verdana"/>
        </w:rPr>
      </w:pPr>
    </w:p>
    <w:p w14:paraId="38D1E681" w14:textId="77777777" w:rsidR="00740F81" w:rsidRPr="006C243C" w:rsidRDefault="0063219D" w:rsidP="00A26B29">
      <w:pPr>
        <w:pStyle w:val="ListParagraph"/>
        <w:numPr>
          <w:ilvl w:val="1"/>
          <w:numId w:val="52"/>
        </w:numPr>
        <w:ind w:left="1701" w:hanging="850"/>
        <w:jc w:val="both"/>
        <w:rPr>
          <w:rFonts w:ascii="Verdana" w:hAnsi="Verdana"/>
        </w:rPr>
      </w:pPr>
      <w:r w:rsidRPr="00344308">
        <w:rPr>
          <w:rFonts w:ascii="Verdana" w:hAnsi="Verdana"/>
        </w:rPr>
        <w:t>In some situations it may be necessary to consult with the Vulnerable Person’s professional adviser, for example GP or psychotherapist.</w:t>
      </w:r>
    </w:p>
    <w:p w14:paraId="6784BEB9" w14:textId="77777777" w:rsidR="00A769AB" w:rsidRPr="006C243C" w:rsidRDefault="00A769AB" w:rsidP="006C243C">
      <w:pPr>
        <w:pStyle w:val="ListParagraph"/>
        <w:rPr>
          <w:rFonts w:ascii="Verdana" w:hAnsi="Verdana"/>
        </w:rPr>
      </w:pPr>
    </w:p>
    <w:p w14:paraId="6A95B392" w14:textId="77777777" w:rsidR="00A769AB" w:rsidRDefault="00344308" w:rsidP="00A26B29">
      <w:pPr>
        <w:pStyle w:val="ListParagraph"/>
        <w:numPr>
          <w:ilvl w:val="1"/>
          <w:numId w:val="52"/>
        </w:numPr>
        <w:ind w:left="1701" w:hanging="850"/>
        <w:jc w:val="both"/>
        <w:rPr>
          <w:rFonts w:ascii="Verdana" w:hAnsi="Verdana"/>
        </w:rPr>
      </w:pPr>
      <w:r w:rsidRPr="006C243C">
        <w:rPr>
          <w:rFonts w:ascii="Verdana" w:hAnsi="Verdana"/>
        </w:rPr>
        <w:t>If there</w:t>
      </w:r>
      <w:r>
        <w:rPr>
          <w:rFonts w:ascii="Verdana" w:hAnsi="Verdana"/>
        </w:rPr>
        <w:t xml:space="preserve"> is any doubt as to who is able to provide the required consent then advice should be sought from</w:t>
      </w:r>
      <w:r w:rsidR="00F969D5">
        <w:rPr>
          <w:rFonts w:ascii="Verdana" w:hAnsi="Verdana"/>
        </w:rPr>
        <w:t xml:space="preserve"> the </w:t>
      </w:r>
      <w:r>
        <w:rPr>
          <w:rFonts w:ascii="Verdana" w:hAnsi="Verdana"/>
        </w:rPr>
        <w:t>S4C Legal Department.</w:t>
      </w:r>
    </w:p>
    <w:p w14:paraId="0C16C541" w14:textId="77777777" w:rsidR="00344308" w:rsidRPr="006C243C" w:rsidRDefault="00344308" w:rsidP="006C243C">
      <w:pPr>
        <w:pStyle w:val="ListParagraph"/>
        <w:rPr>
          <w:rFonts w:ascii="Verdana" w:hAnsi="Verdana"/>
        </w:rPr>
      </w:pPr>
    </w:p>
    <w:p w14:paraId="609A0097" w14:textId="77777777" w:rsidR="00344308" w:rsidRPr="006C243C" w:rsidRDefault="00344308" w:rsidP="00A26B29">
      <w:pPr>
        <w:pStyle w:val="ListParagraph"/>
        <w:numPr>
          <w:ilvl w:val="1"/>
          <w:numId w:val="52"/>
        </w:numPr>
        <w:ind w:left="1701" w:hanging="850"/>
        <w:jc w:val="both"/>
        <w:rPr>
          <w:rFonts w:ascii="Verdana" w:hAnsi="Verdana"/>
        </w:rPr>
      </w:pPr>
      <w:r>
        <w:rPr>
          <w:rFonts w:ascii="Verdana" w:hAnsi="Verdana"/>
        </w:rPr>
        <w:t xml:space="preserve">The considerations surrounding consent should be a continual process throughout the production or relevant engagement.  If the nature of the production changes then the Vulnerable Person and/or their primary adult carer should be consulted to check that consent still stands.  Similarly, if the Vulnerable Person’s condition deteriorates during the course of </w:t>
      </w:r>
      <w:r w:rsidR="006C243C">
        <w:rPr>
          <w:rFonts w:ascii="Verdana" w:hAnsi="Verdana"/>
        </w:rPr>
        <w:t xml:space="preserve">the </w:t>
      </w:r>
      <w:r w:rsidR="00F969D5">
        <w:rPr>
          <w:rFonts w:ascii="Verdana" w:hAnsi="Verdana"/>
        </w:rPr>
        <w:t>production</w:t>
      </w:r>
      <w:r>
        <w:rPr>
          <w:rFonts w:ascii="Verdana" w:hAnsi="Verdana"/>
        </w:rPr>
        <w:t xml:space="preserve">, </w:t>
      </w:r>
      <w:r w:rsidR="003B5F27">
        <w:rPr>
          <w:rFonts w:ascii="Verdana" w:hAnsi="Verdana"/>
        </w:rPr>
        <w:t>then serious consideration</w:t>
      </w:r>
      <w:r w:rsidR="006C243C">
        <w:rPr>
          <w:rFonts w:ascii="Verdana" w:hAnsi="Verdana"/>
        </w:rPr>
        <w:t xml:space="preserve"> should be given as to the suitability of a) continuing to work with the Vulnerable Person, and b) the use of the content i.e. suitability to transmit.  The primary consideration should be the Vulnerable Person’s welfare during filming</w:t>
      </w:r>
      <w:r w:rsidR="00F17676">
        <w:rPr>
          <w:rFonts w:ascii="Verdana" w:hAnsi="Verdana"/>
        </w:rPr>
        <w:t>,</w:t>
      </w:r>
      <w:r w:rsidR="006C243C">
        <w:rPr>
          <w:rFonts w:ascii="Verdana" w:hAnsi="Verdana"/>
        </w:rPr>
        <w:t xml:space="preserve"> on transmission </w:t>
      </w:r>
      <w:r w:rsidR="00F17676">
        <w:rPr>
          <w:rFonts w:ascii="Verdana" w:hAnsi="Verdana"/>
        </w:rPr>
        <w:t xml:space="preserve">and even beyond </w:t>
      </w:r>
      <w:r w:rsidR="006C243C">
        <w:rPr>
          <w:rFonts w:ascii="Verdana" w:hAnsi="Verdana"/>
        </w:rPr>
        <w:t>therefore it is important to maintain a dialogue with the Vulnerable Person and/or their primary adult carer.</w:t>
      </w:r>
    </w:p>
    <w:p w14:paraId="0F15809E" w14:textId="77777777" w:rsidR="008E61A1" w:rsidRDefault="008E61A1" w:rsidP="008B1BF8">
      <w:pPr>
        <w:spacing w:after="0" w:line="240" w:lineRule="auto"/>
        <w:ind w:left="1418"/>
        <w:jc w:val="both"/>
      </w:pPr>
    </w:p>
    <w:p w14:paraId="46F3E61E" w14:textId="77777777" w:rsidR="008E61A1" w:rsidRPr="008E61A1" w:rsidRDefault="008E61A1" w:rsidP="008B1BF8">
      <w:pPr>
        <w:spacing w:after="0" w:line="240" w:lineRule="auto"/>
        <w:ind w:left="1418"/>
        <w:jc w:val="both"/>
        <w:rPr>
          <w:color w:val="auto"/>
        </w:rPr>
      </w:pPr>
    </w:p>
    <w:p w14:paraId="15CFF9FF" w14:textId="77777777" w:rsidR="00BC0459" w:rsidRPr="00875224" w:rsidRDefault="00740F81" w:rsidP="00A26B29">
      <w:pPr>
        <w:pStyle w:val="ListParagraph"/>
        <w:numPr>
          <w:ilvl w:val="0"/>
          <w:numId w:val="52"/>
        </w:numPr>
        <w:shd w:val="clear" w:color="auto" w:fill="FFFFFF"/>
        <w:ind w:left="1701" w:hanging="850"/>
        <w:rPr>
          <w:rFonts w:ascii="Verdana" w:hAnsi="Verdana"/>
          <w:b/>
        </w:rPr>
      </w:pPr>
      <w:r w:rsidRPr="00875224">
        <w:rPr>
          <w:rFonts w:ascii="Verdana" w:hAnsi="Verdana"/>
          <w:b/>
        </w:rPr>
        <w:t>Capacity</w:t>
      </w:r>
    </w:p>
    <w:p w14:paraId="66B67118" w14:textId="77777777" w:rsidR="008E61A1" w:rsidRPr="008E61A1" w:rsidRDefault="008E61A1" w:rsidP="008E61A1">
      <w:pPr>
        <w:spacing w:after="0" w:line="240" w:lineRule="auto"/>
        <w:ind w:left="1418" w:hanging="709"/>
        <w:jc w:val="both"/>
        <w:rPr>
          <w:b/>
          <w:bCs/>
          <w:color w:val="auto"/>
        </w:rPr>
      </w:pPr>
    </w:p>
    <w:p w14:paraId="001D8E2C" w14:textId="41F7DB9E" w:rsidR="00DB199D" w:rsidRDefault="002236B3" w:rsidP="00A26B29">
      <w:pPr>
        <w:pStyle w:val="ListParagraph"/>
        <w:numPr>
          <w:ilvl w:val="1"/>
          <w:numId w:val="52"/>
        </w:numPr>
        <w:ind w:left="1701" w:hanging="850"/>
        <w:jc w:val="both"/>
        <w:rPr>
          <w:rFonts w:ascii="Verdana" w:hAnsi="Verdana"/>
          <w:bCs/>
        </w:rPr>
      </w:pPr>
      <w:r>
        <w:rPr>
          <w:rFonts w:ascii="Verdana" w:hAnsi="Verdana"/>
          <w:bCs/>
        </w:rPr>
        <w:t>A person’s capacity refers to their capacity (or lack of it) to</w:t>
      </w:r>
      <w:r w:rsidR="00316E76">
        <w:rPr>
          <w:rFonts w:ascii="Verdana" w:hAnsi="Verdana"/>
          <w:bCs/>
        </w:rPr>
        <w:t xml:space="preserve"> make an informed decision based on the information available to them relevant to the decision</w:t>
      </w:r>
      <w:r w:rsidR="000C1435">
        <w:rPr>
          <w:rFonts w:ascii="Verdana" w:hAnsi="Verdana"/>
          <w:bCs/>
        </w:rPr>
        <w:t>. A person is deemed unable to make a decision if; they are unable to understand the information relevant to the decision,</w:t>
      </w:r>
      <w:r w:rsidR="00316E76">
        <w:rPr>
          <w:rFonts w:ascii="Verdana" w:hAnsi="Verdana"/>
          <w:bCs/>
        </w:rPr>
        <w:t xml:space="preserve"> </w:t>
      </w:r>
      <w:r w:rsidR="000C1435">
        <w:rPr>
          <w:rFonts w:ascii="Verdana" w:hAnsi="Verdana"/>
          <w:bCs/>
        </w:rPr>
        <w:t>or  are unable</w:t>
      </w:r>
      <w:r w:rsidR="00316E76">
        <w:rPr>
          <w:rFonts w:ascii="Verdana" w:hAnsi="Verdana"/>
          <w:bCs/>
        </w:rPr>
        <w:t xml:space="preserve"> to retain and weigh that information</w:t>
      </w:r>
      <w:r w:rsidR="000C1435">
        <w:rPr>
          <w:rFonts w:ascii="Verdana" w:hAnsi="Verdana"/>
          <w:bCs/>
        </w:rPr>
        <w:t xml:space="preserve"> as part of the process of making the decision</w:t>
      </w:r>
      <w:r w:rsidR="00316E76">
        <w:rPr>
          <w:rFonts w:ascii="Verdana" w:hAnsi="Verdana"/>
          <w:bCs/>
        </w:rPr>
        <w:t>,</w:t>
      </w:r>
      <w:r w:rsidR="000C1435">
        <w:rPr>
          <w:rFonts w:ascii="Verdana" w:hAnsi="Verdana"/>
          <w:bCs/>
        </w:rPr>
        <w:t xml:space="preserve"> or are unable</w:t>
      </w:r>
      <w:r w:rsidR="00316E76">
        <w:rPr>
          <w:rFonts w:ascii="Verdana" w:hAnsi="Verdana"/>
          <w:bCs/>
        </w:rPr>
        <w:t xml:space="preserve"> to communicate their decision effectively </w:t>
      </w:r>
      <w:r w:rsidR="00263868">
        <w:rPr>
          <w:rFonts w:ascii="Verdana" w:hAnsi="Verdana"/>
          <w:bCs/>
        </w:rPr>
        <w:t>(</w:t>
      </w:r>
      <w:r w:rsidR="00316E76">
        <w:rPr>
          <w:rFonts w:ascii="Verdana" w:hAnsi="Verdana"/>
          <w:bCs/>
        </w:rPr>
        <w:t>whilst understanding the implication of that decision</w:t>
      </w:r>
      <w:r w:rsidR="00263868">
        <w:rPr>
          <w:rFonts w:ascii="Verdana" w:hAnsi="Verdana"/>
          <w:bCs/>
        </w:rPr>
        <w:t>) whether by talking, using sign language or any other means</w:t>
      </w:r>
      <w:r w:rsidR="00316E76">
        <w:rPr>
          <w:rFonts w:ascii="Verdana" w:hAnsi="Verdana"/>
          <w:bCs/>
        </w:rPr>
        <w:t>.</w:t>
      </w:r>
    </w:p>
    <w:p w14:paraId="08E3E968" w14:textId="77777777" w:rsidR="00DB199D" w:rsidRDefault="00DB199D" w:rsidP="00344308">
      <w:pPr>
        <w:pStyle w:val="ListParagraph"/>
        <w:ind w:left="1701" w:hanging="850"/>
        <w:jc w:val="both"/>
        <w:rPr>
          <w:rFonts w:ascii="Verdana" w:hAnsi="Verdana"/>
          <w:bCs/>
        </w:rPr>
      </w:pPr>
    </w:p>
    <w:p w14:paraId="2A7DEFD5" w14:textId="77777777" w:rsidR="008E61A1" w:rsidRPr="002236B3" w:rsidRDefault="008E61A1" w:rsidP="00A26B29">
      <w:pPr>
        <w:pStyle w:val="ListParagraph"/>
        <w:numPr>
          <w:ilvl w:val="1"/>
          <w:numId w:val="52"/>
        </w:numPr>
        <w:ind w:left="1701" w:hanging="850"/>
        <w:jc w:val="both"/>
        <w:rPr>
          <w:rFonts w:ascii="Verdana" w:hAnsi="Verdana"/>
          <w:bCs/>
        </w:rPr>
      </w:pPr>
      <w:r w:rsidRPr="002236B3">
        <w:rPr>
          <w:rFonts w:ascii="Verdana" w:hAnsi="Verdana"/>
          <w:bCs/>
        </w:rPr>
        <w:t xml:space="preserve">If it is unclear that a Vulnerable Person has sufficient capacity to consent to filming and/or broadcast of the </w:t>
      </w:r>
      <w:r w:rsidR="00307273">
        <w:rPr>
          <w:rFonts w:ascii="Verdana" w:hAnsi="Verdana"/>
          <w:bCs/>
        </w:rPr>
        <w:t>content</w:t>
      </w:r>
      <w:r w:rsidR="00307273" w:rsidRPr="002236B3">
        <w:rPr>
          <w:rFonts w:ascii="Verdana" w:hAnsi="Verdana"/>
          <w:bCs/>
        </w:rPr>
        <w:t xml:space="preserve"> </w:t>
      </w:r>
      <w:r w:rsidRPr="002236B3">
        <w:rPr>
          <w:rFonts w:ascii="Verdana" w:hAnsi="Verdana"/>
          <w:bCs/>
        </w:rPr>
        <w:t xml:space="preserve">then it is advisable to have that individual assessed by an independent professional with expertise in that particular </w:t>
      </w:r>
      <w:r w:rsidR="002236B3" w:rsidRPr="002236B3">
        <w:rPr>
          <w:rFonts w:ascii="Verdana" w:hAnsi="Verdana"/>
          <w:bCs/>
        </w:rPr>
        <w:t>condition or area of disability.</w:t>
      </w:r>
    </w:p>
    <w:p w14:paraId="3C66974F" w14:textId="77777777" w:rsidR="002236B3" w:rsidRPr="002236B3" w:rsidRDefault="002236B3" w:rsidP="00344308">
      <w:pPr>
        <w:pStyle w:val="ListParagraph"/>
        <w:ind w:left="1701" w:hanging="850"/>
        <w:jc w:val="both"/>
        <w:rPr>
          <w:rFonts w:ascii="Verdana" w:hAnsi="Verdana"/>
          <w:bCs/>
        </w:rPr>
      </w:pPr>
    </w:p>
    <w:p w14:paraId="46C79398" w14:textId="77777777" w:rsidR="002236B3" w:rsidRDefault="008E00F7" w:rsidP="00A26B29">
      <w:pPr>
        <w:pStyle w:val="ListParagraph"/>
        <w:numPr>
          <w:ilvl w:val="1"/>
          <w:numId w:val="52"/>
        </w:numPr>
        <w:ind w:left="1701" w:hanging="850"/>
        <w:jc w:val="both"/>
        <w:rPr>
          <w:rFonts w:ascii="Verdana" w:hAnsi="Verdana"/>
          <w:bCs/>
        </w:rPr>
      </w:pPr>
      <w:r>
        <w:rPr>
          <w:rFonts w:ascii="Verdana" w:hAnsi="Verdana"/>
          <w:bCs/>
        </w:rPr>
        <w:t>If a Vulnerable Person is deemed to have capacity then the purpose</w:t>
      </w:r>
      <w:r w:rsidR="00D65FC2">
        <w:rPr>
          <w:rFonts w:ascii="Verdana" w:hAnsi="Verdana"/>
          <w:bCs/>
        </w:rPr>
        <w:t xml:space="preserve"> of the </w:t>
      </w:r>
      <w:r w:rsidR="00307273">
        <w:rPr>
          <w:rFonts w:ascii="Verdana" w:hAnsi="Verdana"/>
          <w:bCs/>
        </w:rPr>
        <w:t xml:space="preserve">production </w:t>
      </w:r>
      <w:r>
        <w:rPr>
          <w:rFonts w:ascii="Verdana" w:hAnsi="Verdana"/>
          <w:bCs/>
        </w:rPr>
        <w:t>o</w:t>
      </w:r>
      <w:r w:rsidR="00D65FC2">
        <w:rPr>
          <w:rFonts w:ascii="Verdana" w:hAnsi="Verdana"/>
          <w:bCs/>
        </w:rPr>
        <w:t>r</w:t>
      </w:r>
      <w:r>
        <w:rPr>
          <w:rFonts w:ascii="Verdana" w:hAnsi="Verdana"/>
          <w:bCs/>
        </w:rPr>
        <w:t xml:space="preserve"> filming and nature of the programme should be clearly explained to the individual by a </w:t>
      </w:r>
      <w:r w:rsidR="00D95B86">
        <w:rPr>
          <w:rFonts w:ascii="Verdana" w:hAnsi="Verdana"/>
          <w:bCs/>
        </w:rPr>
        <w:t xml:space="preserve">trained </w:t>
      </w:r>
      <w:r>
        <w:rPr>
          <w:rFonts w:ascii="Verdana" w:hAnsi="Verdana"/>
          <w:bCs/>
        </w:rPr>
        <w:t>member of the production team and/or a relevant expert and in the presence of the Vulnerable Person</w:t>
      </w:r>
      <w:r w:rsidR="00307273">
        <w:rPr>
          <w:rFonts w:ascii="Verdana" w:hAnsi="Verdana"/>
          <w:bCs/>
        </w:rPr>
        <w:t>’s primary adult carer</w:t>
      </w:r>
      <w:r>
        <w:rPr>
          <w:rFonts w:ascii="Verdana" w:hAnsi="Verdana"/>
          <w:bCs/>
        </w:rPr>
        <w:t>.</w:t>
      </w:r>
    </w:p>
    <w:p w14:paraId="717600F0" w14:textId="77777777" w:rsidR="008E00F7" w:rsidRPr="008E00F7" w:rsidRDefault="008E00F7" w:rsidP="00344308">
      <w:pPr>
        <w:pStyle w:val="ListParagraph"/>
        <w:ind w:left="1701" w:hanging="850"/>
        <w:rPr>
          <w:rFonts w:ascii="Verdana" w:hAnsi="Verdana"/>
          <w:bCs/>
        </w:rPr>
      </w:pPr>
    </w:p>
    <w:p w14:paraId="570EE568" w14:textId="77777777" w:rsidR="00307273" w:rsidRDefault="00D95B86" w:rsidP="00A26B29">
      <w:pPr>
        <w:pStyle w:val="ListParagraph"/>
        <w:numPr>
          <w:ilvl w:val="1"/>
          <w:numId w:val="52"/>
        </w:numPr>
        <w:ind w:left="1701" w:hanging="850"/>
        <w:jc w:val="both"/>
        <w:rPr>
          <w:rFonts w:ascii="Verdana" w:hAnsi="Verdana"/>
          <w:bCs/>
        </w:rPr>
      </w:pPr>
      <w:r>
        <w:rPr>
          <w:rFonts w:ascii="Verdana" w:hAnsi="Verdana"/>
          <w:bCs/>
        </w:rPr>
        <w:lastRenderedPageBreak/>
        <w:t>It may be appropriate for t</w:t>
      </w:r>
      <w:r w:rsidR="00307273">
        <w:rPr>
          <w:rFonts w:ascii="Verdana" w:hAnsi="Verdana"/>
          <w:bCs/>
        </w:rPr>
        <w:t xml:space="preserve">he Vulnerable Person and/or their primary adult carer </w:t>
      </w:r>
      <w:r>
        <w:rPr>
          <w:rFonts w:ascii="Verdana" w:hAnsi="Verdana"/>
          <w:bCs/>
        </w:rPr>
        <w:t>to</w:t>
      </w:r>
      <w:r w:rsidR="0068055A">
        <w:rPr>
          <w:rFonts w:ascii="Verdana" w:hAnsi="Verdana"/>
          <w:bCs/>
        </w:rPr>
        <w:t xml:space="preserve"> </w:t>
      </w:r>
      <w:r w:rsidR="00307273">
        <w:rPr>
          <w:rFonts w:ascii="Verdana" w:hAnsi="Verdana"/>
          <w:bCs/>
        </w:rPr>
        <w:t>be allowed the opportunity to view the relevant content and be given the opportunity to ask questions and comment on the content and how it portrays the Vulnerable Person. It can be a good idea to set out the purpose of the filming in a letter which can then be provided to the Vulnerable Person and/or their primary adult carer.</w:t>
      </w:r>
    </w:p>
    <w:p w14:paraId="7183A81C" w14:textId="77777777" w:rsidR="00307273" w:rsidRPr="00307273" w:rsidRDefault="00307273" w:rsidP="00307273">
      <w:pPr>
        <w:pStyle w:val="ListParagraph"/>
        <w:ind w:left="1701"/>
        <w:jc w:val="both"/>
        <w:rPr>
          <w:rFonts w:ascii="Verdana" w:hAnsi="Verdana"/>
          <w:bCs/>
        </w:rPr>
      </w:pPr>
    </w:p>
    <w:p w14:paraId="62D53880" w14:textId="1907F0C6" w:rsidR="008E00F7" w:rsidRDefault="008E00F7" w:rsidP="00A26B29">
      <w:pPr>
        <w:pStyle w:val="ListParagraph"/>
        <w:numPr>
          <w:ilvl w:val="1"/>
          <w:numId w:val="52"/>
        </w:numPr>
        <w:ind w:left="1701" w:hanging="850"/>
        <w:jc w:val="both"/>
        <w:rPr>
          <w:rFonts w:ascii="Verdana" w:hAnsi="Verdana"/>
          <w:bCs/>
        </w:rPr>
      </w:pPr>
      <w:r>
        <w:rPr>
          <w:rFonts w:ascii="Verdana" w:hAnsi="Verdana"/>
          <w:bCs/>
        </w:rPr>
        <w:t xml:space="preserve">If a Vulnerable Person is deemed not to have capacity and thus unable to give informed consent </w:t>
      </w:r>
      <w:r w:rsidR="002710F8">
        <w:rPr>
          <w:rFonts w:ascii="Verdana" w:hAnsi="Verdana"/>
          <w:bCs/>
        </w:rPr>
        <w:t>or they may become incapable of giving informed consent due to a sudden deterioration of their condition, S4C has a duty, together with the primary adult carer, to consider the impact of broadcasting the content on the Vulnerable Person.</w:t>
      </w:r>
      <w:r w:rsidR="00263868">
        <w:rPr>
          <w:rFonts w:ascii="Verdana" w:hAnsi="Verdana"/>
          <w:bCs/>
        </w:rPr>
        <w:t xml:space="preserve">  </w:t>
      </w:r>
      <w:r w:rsidR="00263868">
        <w:rPr>
          <w:rFonts w:ascii="Verdana" w:hAnsi="Verdana"/>
        </w:rPr>
        <w:t>Advice should be sought from the S4C Legal Department as to appropriate steps to be taken.</w:t>
      </w:r>
    </w:p>
    <w:p w14:paraId="28E569EE" w14:textId="77777777" w:rsidR="00250BD1" w:rsidRPr="00E276AD" w:rsidRDefault="00250BD1" w:rsidP="00250BD1">
      <w:pPr>
        <w:ind w:left="1418" w:hanging="709"/>
        <w:jc w:val="both"/>
        <w:rPr>
          <w:b/>
        </w:rPr>
      </w:pPr>
      <w:bookmarkStart w:id="0" w:name="18"/>
      <w:bookmarkStart w:id="1" w:name="19"/>
      <w:bookmarkStart w:id="2" w:name="20"/>
      <w:bookmarkStart w:id="3" w:name="21"/>
      <w:bookmarkStart w:id="4" w:name="22"/>
      <w:bookmarkStart w:id="5" w:name="23"/>
      <w:bookmarkEnd w:id="0"/>
      <w:bookmarkEnd w:id="1"/>
      <w:bookmarkEnd w:id="2"/>
      <w:bookmarkEnd w:id="3"/>
      <w:bookmarkEnd w:id="4"/>
      <w:bookmarkEnd w:id="5"/>
    </w:p>
    <w:p w14:paraId="041DAABA" w14:textId="77777777" w:rsidR="00250BD1" w:rsidRPr="005C4006" w:rsidRDefault="00592509" w:rsidP="00A26B29">
      <w:pPr>
        <w:pStyle w:val="ListParagraph"/>
        <w:numPr>
          <w:ilvl w:val="0"/>
          <w:numId w:val="52"/>
        </w:numPr>
        <w:ind w:left="1701" w:hanging="850"/>
        <w:jc w:val="both"/>
        <w:rPr>
          <w:rFonts w:ascii="Verdana" w:hAnsi="Verdana"/>
          <w:b/>
        </w:rPr>
      </w:pPr>
      <w:r w:rsidRPr="005C4006">
        <w:rPr>
          <w:rFonts w:ascii="Verdana" w:hAnsi="Verdana"/>
          <w:b/>
        </w:rPr>
        <w:t>Working with Vulnerable People</w:t>
      </w:r>
    </w:p>
    <w:p w14:paraId="012B5E31" w14:textId="77777777" w:rsidR="00592509" w:rsidRPr="005C4006" w:rsidRDefault="00592509" w:rsidP="005C4006">
      <w:pPr>
        <w:pStyle w:val="ListParagraph"/>
        <w:ind w:left="1701"/>
        <w:jc w:val="both"/>
        <w:rPr>
          <w:rFonts w:ascii="Verdana" w:hAnsi="Verdana"/>
        </w:rPr>
      </w:pPr>
    </w:p>
    <w:p w14:paraId="77C92F40" w14:textId="5CB10E12" w:rsidR="00592509" w:rsidRDefault="0068055A" w:rsidP="00A26B29">
      <w:pPr>
        <w:pStyle w:val="ListParagraph"/>
        <w:numPr>
          <w:ilvl w:val="1"/>
          <w:numId w:val="52"/>
        </w:numPr>
        <w:spacing w:after="240"/>
        <w:ind w:left="1701" w:hanging="850"/>
        <w:jc w:val="both"/>
        <w:rPr>
          <w:rFonts w:ascii="Verdana" w:hAnsi="Verdana"/>
        </w:rPr>
      </w:pPr>
      <w:r>
        <w:rPr>
          <w:rFonts w:ascii="Verdana" w:hAnsi="Verdana"/>
        </w:rPr>
        <w:t>I</w:t>
      </w:r>
      <w:r w:rsidR="00025A3C" w:rsidRPr="005C4006">
        <w:rPr>
          <w:rFonts w:ascii="Verdana" w:hAnsi="Verdana"/>
        </w:rPr>
        <w:t xml:space="preserve">t </w:t>
      </w:r>
      <w:r>
        <w:rPr>
          <w:rFonts w:ascii="Verdana" w:hAnsi="Verdana"/>
        </w:rPr>
        <w:t>may</w:t>
      </w:r>
      <w:r w:rsidRPr="005C4006">
        <w:rPr>
          <w:rFonts w:ascii="Verdana" w:hAnsi="Verdana"/>
        </w:rPr>
        <w:t xml:space="preserve"> </w:t>
      </w:r>
      <w:r w:rsidR="00025A3C" w:rsidRPr="005C4006">
        <w:rPr>
          <w:rFonts w:ascii="Verdana" w:hAnsi="Verdana"/>
        </w:rPr>
        <w:t xml:space="preserve">be necessary to </w:t>
      </w:r>
      <w:r>
        <w:rPr>
          <w:rFonts w:ascii="Verdana" w:hAnsi="Verdana"/>
        </w:rPr>
        <w:t>obtain</w:t>
      </w:r>
      <w:r w:rsidRPr="005C4006">
        <w:rPr>
          <w:rFonts w:ascii="Verdana" w:hAnsi="Verdana"/>
        </w:rPr>
        <w:t xml:space="preserve"> </w:t>
      </w:r>
      <w:r w:rsidR="00025A3C" w:rsidRPr="005C4006">
        <w:rPr>
          <w:rFonts w:ascii="Verdana" w:hAnsi="Verdana"/>
        </w:rPr>
        <w:t>advice from those who are familiar with the Vulnerable Person and the nature of their condition</w:t>
      </w:r>
      <w:r w:rsidR="00E750BB">
        <w:rPr>
          <w:rFonts w:ascii="Verdana" w:hAnsi="Verdana"/>
        </w:rPr>
        <w:t xml:space="preserve"> (this might include members of family, appropriate members of the individual’s </w:t>
      </w:r>
      <w:proofErr w:type="spellStart"/>
      <w:r w:rsidR="00E750BB">
        <w:rPr>
          <w:rFonts w:ascii="Verdana" w:hAnsi="Verdana"/>
        </w:rPr>
        <w:t>mutli</w:t>
      </w:r>
      <w:proofErr w:type="spellEnd"/>
      <w:r w:rsidR="00E750BB">
        <w:rPr>
          <w:rFonts w:ascii="Verdana" w:hAnsi="Verdana"/>
        </w:rPr>
        <w:t>-disciplinary team such as a social worker or care co-ordinator, or an Independent Mental Health Advocate</w:t>
      </w:r>
      <w:r w:rsidR="00526F39">
        <w:rPr>
          <w:rFonts w:ascii="Verdana" w:hAnsi="Verdana"/>
        </w:rPr>
        <w:t>/Independent Mental Capacity Advocate</w:t>
      </w:r>
      <w:r w:rsidR="00E750BB">
        <w:rPr>
          <w:rFonts w:ascii="Verdana" w:hAnsi="Verdana"/>
        </w:rPr>
        <w:t xml:space="preserve">) </w:t>
      </w:r>
      <w:r>
        <w:rPr>
          <w:rFonts w:ascii="Verdana" w:hAnsi="Verdana"/>
        </w:rPr>
        <w:t>to better understand their behaviour and how best to respond to that behaviour</w:t>
      </w:r>
      <w:r w:rsidR="00025A3C" w:rsidRPr="005C4006">
        <w:rPr>
          <w:rFonts w:ascii="Verdana" w:hAnsi="Verdana"/>
        </w:rPr>
        <w:t>.</w:t>
      </w:r>
    </w:p>
    <w:p w14:paraId="62A5256E" w14:textId="085B8E9E" w:rsidR="00F7341F" w:rsidRPr="00A26B29" w:rsidRDefault="00F7341F" w:rsidP="00A26B29">
      <w:pPr>
        <w:pStyle w:val="ListParagraph"/>
        <w:numPr>
          <w:ilvl w:val="1"/>
          <w:numId w:val="52"/>
        </w:numPr>
        <w:ind w:left="1701"/>
        <w:jc w:val="both"/>
        <w:rPr>
          <w:rFonts w:ascii="Verdana" w:hAnsi="Verdana"/>
        </w:rPr>
      </w:pPr>
      <w:r>
        <w:rPr>
          <w:rFonts w:ascii="Verdana" w:hAnsi="Verdana"/>
        </w:rPr>
        <w:t>It may be necessary for production staff to acquire appropriate training or guidance to enable them to deal with challenges that arise when working with vulnerable people appropriately.</w:t>
      </w:r>
      <w:r w:rsidR="008749D3">
        <w:rPr>
          <w:rFonts w:ascii="Verdana" w:hAnsi="Verdana"/>
        </w:rPr>
        <w:t xml:space="preserve"> T</w:t>
      </w:r>
      <w:r w:rsidR="008749D3" w:rsidRPr="00361AAF">
        <w:rPr>
          <w:rFonts w:ascii="Verdana" w:hAnsi="Verdana"/>
        </w:rPr>
        <w:t>echnicians and crew members</w:t>
      </w:r>
      <w:r w:rsidR="008749D3">
        <w:rPr>
          <w:rFonts w:ascii="Verdana" w:hAnsi="Verdana"/>
        </w:rPr>
        <w:t xml:space="preserve"> </w:t>
      </w:r>
      <w:r w:rsidR="008749D3" w:rsidRPr="00361AAF">
        <w:rPr>
          <w:rFonts w:ascii="Verdana" w:hAnsi="Verdana"/>
        </w:rPr>
        <w:t>should be briefed on working with vulnerable contributors to enable them to work sensitively</w:t>
      </w:r>
      <w:r w:rsidR="008749D3">
        <w:rPr>
          <w:rFonts w:ascii="Verdana" w:hAnsi="Verdana"/>
        </w:rPr>
        <w:t xml:space="preserve"> during production.</w:t>
      </w:r>
    </w:p>
    <w:p w14:paraId="7C26A5F4" w14:textId="77777777" w:rsidR="00025A3C" w:rsidRPr="005C4006" w:rsidRDefault="00025A3C" w:rsidP="00660942">
      <w:pPr>
        <w:pStyle w:val="ListParagraph"/>
        <w:ind w:left="1701" w:hanging="850"/>
        <w:jc w:val="both"/>
        <w:rPr>
          <w:rFonts w:ascii="Verdana" w:hAnsi="Verdana"/>
        </w:rPr>
      </w:pPr>
    </w:p>
    <w:p w14:paraId="71B9892F" w14:textId="77777777" w:rsidR="005444B1" w:rsidRDefault="00025A3C" w:rsidP="00A26B29">
      <w:pPr>
        <w:pStyle w:val="ListParagraph"/>
        <w:numPr>
          <w:ilvl w:val="1"/>
          <w:numId w:val="52"/>
        </w:numPr>
        <w:ind w:left="1701" w:hanging="850"/>
        <w:jc w:val="both"/>
        <w:rPr>
          <w:rFonts w:ascii="Verdana" w:hAnsi="Verdana"/>
        </w:rPr>
      </w:pPr>
      <w:r>
        <w:rPr>
          <w:rFonts w:ascii="Verdana" w:hAnsi="Verdana"/>
        </w:rPr>
        <w:t xml:space="preserve">S4C has a duty of care to ensure that Vulnerable People have sufficient support throughout the </w:t>
      </w:r>
      <w:r w:rsidR="00307273">
        <w:rPr>
          <w:rFonts w:ascii="Verdana" w:hAnsi="Verdana"/>
        </w:rPr>
        <w:t>production</w:t>
      </w:r>
      <w:r w:rsidR="005444B1">
        <w:rPr>
          <w:rFonts w:ascii="Verdana" w:hAnsi="Verdana"/>
        </w:rPr>
        <w:t>.  Vulnerable People, their primary adult carers and/or their families should be consulted regularly in order to keep abreast of the Vulnerable Person’s situation and for help and support where necessary.</w:t>
      </w:r>
    </w:p>
    <w:p w14:paraId="75D0C08A" w14:textId="77777777" w:rsidR="005444B1" w:rsidRPr="005C4006" w:rsidRDefault="005444B1" w:rsidP="005C4006">
      <w:pPr>
        <w:pStyle w:val="ListParagraph"/>
        <w:rPr>
          <w:rFonts w:ascii="Verdana" w:hAnsi="Verdana"/>
        </w:rPr>
      </w:pPr>
    </w:p>
    <w:p w14:paraId="647760B2" w14:textId="77777777" w:rsidR="00025A3C" w:rsidRDefault="0068055A" w:rsidP="00A26B29">
      <w:pPr>
        <w:pStyle w:val="ListParagraph"/>
        <w:numPr>
          <w:ilvl w:val="1"/>
          <w:numId w:val="52"/>
        </w:numPr>
        <w:ind w:left="1701"/>
        <w:jc w:val="both"/>
        <w:rPr>
          <w:rFonts w:ascii="Verdana" w:hAnsi="Verdana"/>
        </w:rPr>
      </w:pPr>
      <w:r>
        <w:rPr>
          <w:rFonts w:ascii="Verdana" w:hAnsi="Verdana"/>
        </w:rPr>
        <w:t>Producers should consider whether</w:t>
      </w:r>
      <w:r w:rsidR="005444B1">
        <w:rPr>
          <w:rFonts w:ascii="Verdana" w:hAnsi="Verdana"/>
        </w:rPr>
        <w:t xml:space="preserve"> the final edit </w:t>
      </w:r>
      <w:r w:rsidR="00D65FC2">
        <w:rPr>
          <w:rFonts w:ascii="Verdana" w:hAnsi="Verdana"/>
        </w:rPr>
        <w:t>of any filmed content</w:t>
      </w:r>
      <w:r>
        <w:rPr>
          <w:rFonts w:ascii="Verdana" w:hAnsi="Verdana"/>
        </w:rPr>
        <w:t xml:space="preserve"> should be shown</w:t>
      </w:r>
      <w:r w:rsidR="00D65FC2">
        <w:rPr>
          <w:rFonts w:ascii="Verdana" w:hAnsi="Verdana"/>
        </w:rPr>
        <w:t xml:space="preserve"> </w:t>
      </w:r>
      <w:r w:rsidR="005444B1">
        <w:rPr>
          <w:rFonts w:ascii="Verdana" w:hAnsi="Verdana"/>
        </w:rPr>
        <w:t>to the Vulnerable Person and/or their primary adult carer</w:t>
      </w:r>
      <w:r>
        <w:rPr>
          <w:rFonts w:ascii="Verdana" w:hAnsi="Verdana"/>
        </w:rPr>
        <w:t xml:space="preserve"> prior to broadcast</w:t>
      </w:r>
      <w:r w:rsidR="009F26EE">
        <w:rPr>
          <w:rFonts w:ascii="Verdana" w:hAnsi="Verdana"/>
        </w:rPr>
        <w:t>,</w:t>
      </w:r>
      <w:r>
        <w:rPr>
          <w:rFonts w:ascii="Verdana" w:hAnsi="Verdana"/>
        </w:rPr>
        <w:t xml:space="preserve"> to</w:t>
      </w:r>
      <w:r w:rsidR="009F26EE">
        <w:rPr>
          <w:rFonts w:ascii="Verdana" w:hAnsi="Verdana"/>
        </w:rPr>
        <w:t xml:space="preserve"> give them the opportunity to discuss any concerns</w:t>
      </w:r>
      <w:r w:rsidR="00025A3C">
        <w:rPr>
          <w:rFonts w:ascii="Verdana" w:hAnsi="Verdana"/>
        </w:rPr>
        <w:t xml:space="preserve"> </w:t>
      </w:r>
      <w:r w:rsidR="009F26EE">
        <w:rPr>
          <w:rFonts w:ascii="Verdana" w:hAnsi="Verdana"/>
        </w:rPr>
        <w:t>and consider the effect of the broadcast itself.</w:t>
      </w:r>
      <w:r>
        <w:rPr>
          <w:rFonts w:ascii="Verdana" w:hAnsi="Verdana"/>
        </w:rPr>
        <w:t xml:space="preserve"> However, the Vulnerable Person should not be </w:t>
      </w:r>
      <w:r w:rsidR="00BC26B9">
        <w:rPr>
          <w:rFonts w:ascii="Verdana" w:hAnsi="Verdana"/>
        </w:rPr>
        <w:t>misled</w:t>
      </w:r>
      <w:r>
        <w:rPr>
          <w:rFonts w:ascii="Verdana" w:hAnsi="Verdana"/>
        </w:rPr>
        <w:t xml:space="preserve"> to believe that they have editorial control over the content.</w:t>
      </w:r>
      <w:r w:rsidR="00025A3C">
        <w:rPr>
          <w:rFonts w:ascii="Verdana" w:hAnsi="Verdana"/>
        </w:rPr>
        <w:t xml:space="preserve"> </w:t>
      </w:r>
    </w:p>
    <w:p w14:paraId="52C58287" w14:textId="77777777" w:rsidR="009F26EE" w:rsidRPr="005C4006" w:rsidRDefault="009F26EE" w:rsidP="005C4006">
      <w:pPr>
        <w:pStyle w:val="ListParagraph"/>
        <w:rPr>
          <w:rFonts w:ascii="Verdana" w:hAnsi="Verdana"/>
        </w:rPr>
      </w:pPr>
    </w:p>
    <w:p w14:paraId="7E2D442A" w14:textId="77777777" w:rsidR="009F26EE" w:rsidRDefault="00500F3A" w:rsidP="00A26B29">
      <w:pPr>
        <w:pStyle w:val="ListParagraph"/>
        <w:numPr>
          <w:ilvl w:val="1"/>
          <w:numId w:val="52"/>
        </w:numPr>
        <w:ind w:left="1701"/>
        <w:jc w:val="both"/>
        <w:rPr>
          <w:rFonts w:ascii="Verdana" w:hAnsi="Verdana"/>
        </w:rPr>
      </w:pPr>
      <w:r>
        <w:rPr>
          <w:rFonts w:ascii="Verdana" w:hAnsi="Verdana"/>
        </w:rPr>
        <w:t>Depending on the nature of the filming and the nature of the programme, consideration</w:t>
      </w:r>
      <w:r w:rsidR="0068055A">
        <w:rPr>
          <w:rFonts w:ascii="Verdana" w:hAnsi="Verdana"/>
        </w:rPr>
        <w:t xml:space="preserve"> should be given to whether the </w:t>
      </w:r>
      <w:r w:rsidR="009F26EE">
        <w:rPr>
          <w:rFonts w:ascii="Verdana" w:hAnsi="Verdana"/>
        </w:rPr>
        <w:t xml:space="preserve">filming process itself could </w:t>
      </w:r>
      <w:r>
        <w:rPr>
          <w:rFonts w:ascii="Verdana" w:hAnsi="Verdana"/>
        </w:rPr>
        <w:t xml:space="preserve">have an </w:t>
      </w:r>
      <w:r w:rsidR="00BC26B9">
        <w:rPr>
          <w:rFonts w:ascii="Verdana" w:hAnsi="Verdana"/>
        </w:rPr>
        <w:t>adverse effect</w:t>
      </w:r>
      <w:r>
        <w:rPr>
          <w:rFonts w:ascii="Verdana" w:hAnsi="Verdana"/>
        </w:rPr>
        <w:t xml:space="preserve"> on t</w:t>
      </w:r>
      <w:r w:rsidR="009F26EE">
        <w:rPr>
          <w:rFonts w:ascii="Verdana" w:hAnsi="Verdana"/>
        </w:rPr>
        <w:t>he welfare of the Vulnerable Person</w:t>
      </w:r>
      <w:r>
        <w:rPr>
          <w:rFonts w:ascii="Verdana" w:hAnsi="Verdana"/>
        </w:rPr>
        <w:t>. It may be appropriate to consult with</w:t>
      </w:r>
      <w:r w:rsidR="009F26EE">
        <w:rPr>
          <w:rFonts w:ascii="Verdana" w:hAnsi="Verdana"/>
        </w:rPr>
        <w:t xml:space="preserve"> those with specialist knowledge of the</w:t>
      </w:r>
      <w:r>
        <w:rPr>
          <w:rFonts w:ascii="Verdana" w:hAnsi="Verdana"/>
        </w:rPr>
        <w:t xml:space="preserve"> needs of the Vulnerable Person</w:t>
      </w:r>
      <w:r w:rsidR="009F26EE">
        <w:rPr>
          <w:rFonts w:ascii="Verdana" w:hAnsi="Verdana"/>
        </w:rPr>
        <w:t xml:space="preserve"> to </w:t>
      </w:r>
      <w:r>
        <w:rPr>
          <w:rFonts w:ascii="Verdana" w:hAnsi="Verdana"/>
        </w:rPr>
        <w:t xml:space="preserve">determine </w:t>
      </w:r>
      <w:r w:rsidR="009F26EE">
        <w:rPr>
          <w:rFonts w:ascii="Verdana" w:hAnsi="Verdana"/>
        </w:rPr>
        <w:t>how best to minimise any harm and distress placed on the Vulnerable Person, and to consider strategies to deal with any possible scenarios which may occur during production.</w:t>
      </w:r>
    </w:p>
    <w:p w14:paraId="299CF845" w14:textId="77777777" w:rsidR="009F26EE" w:rsidRPr="005C4006" w:rsidRDefault="009F26EE" w:rsidP="005C4006">
      <w:pPr>
        <w:pStyle w:val="ListParagraph"/>
        <w:rPr>
          <w:rFonts w:ascii="Verdana" w:hAnsi="Verdana"/>
        </w:rPr>
      </w:pPr>
    </w:p>
    <w:p w14:paraId="556C499D" w14:textId="008DDAAE" w:rsidR="00325B20" w:rsidRDefault="005C4006" w:rsidP="00A26B29">
      <w:pPr>
        <w:pStyle w:val="ListParagraph"/>
        <w:numPr>
          <w:ilvl w:val="1"/>
          <w:numId w:val="52"/>
        </w:numPr>
        <w:ind w:left="1701" w:hanging="850"/>
        <w:jc w:val="both"/>
        <w:rPr>
          <w:rFonts w:ascii="Verdana" w:hAnsi="Verdana"/>
        </w:rPr>
      </w:pPr>
      <w:r>
        <w:rPr>
          <w:rFonts w:ascii="Verdana" w:hAnsi="Verdana"/>
        </w:rPr>
        <w:t xml:space="preserve">If the Vulnerable Person shows signs of distress as a result of the filming or due to the presence of the crew, </w:t>
      </w:r>
      <w:r w:rsidR="004E4069">
        <w:rPr>
          <w:rFonts w:ascii="Verdana" w:hAnsi="Verdana"/>
        </w:rPr>
        <w:t xml:space="preserve">careful </w:t>
      </w:r>
      <w:r w:rsidR="00B41FA7">
        <w:rPr>
          <w:rFonts w:ascii="Verdana" w:hAnsi="Verdana"/>
        </w:rPr>
        <w:t xml:space="preserve">consideration should be given to </w:t>
      </w:r>
      <w:r w:rsidR="004E4069">
        <w:rPr>
          <w:rFonts w:ascii="Verdana" w:hAnsi="Verdana"/>
        </w:rPr>
        <w:t xml:space="preserve">suspending </w:t>
      </w:r>
      <w:r>
        <w:rPr>
          <w:rFonts w:ascii="Verdana" w:hAnsi="Verdana"/>
        </w:rPr>
        <w:t xml:space="preserve"> filming </w:t>
      </w:r>
      <w:r w:rsidR="004E4069">
        <w:rPr>
          <w:rFonts w:ascii="Verdana" w:hAnsi="Verdana"/>
        </w:rPr>
        <w:t xml:space="preserve">to </w:t>
      </w:r>
      <w:r>
        <w:rPr>
          <w:rFonts w:ascii="Verdana" w:hAnsi="Verdana"/>
        </w:rPr>
        <w:t xml:space="preserve"> </w:t>
      </w:r>
      <w:r w:rsidR="00A81EC8">
        <w:rPr>
          <w:rFonts w:ascii="Verdana" w:hAnsi="Verdana"/>
        </w:rPr>
        <w:t xml:space="preserve">take advice and make </w:t>
      </w:r>
      <w:r>
        <w:rPr>
          <w:rFonts w:ascii="Verdana" w:hAnsi="Verdana"/>
        </w:rPr>
        <w:t>adjust</w:t>
      </w:r>
      <w:r w:rsidR="00A81EC8">
        <w:rPr>
          <w:rFonts w:ascii="Verdana" w:hAnsi="Verdana"/>
        </w:rPr>
        <w:t>ments</w:t>
      </w:r>
      <w:r>
        <w:rPr>
          <w:rFonts w:ascii="Verdana" w:hAnsi="Verdana"/>
        </w:rPr>
        <w:t xml:space="preserve"> as </w:t>
      </w:r>
      <w:r w:rsidR="00A81EC8">
        <w:rPr>
          <w:rFonts w:ascii="Verdana" w:hAnsi="Verdana"/>
        </w:rPr>
        <w:t>required by the circumstances.</w:t>
      </w:r>
      <w:r>
        <w:rPr>
          <w:rFonts w:ascii="Verdana" w:hAnsi="Verdana"/>
        </w:rPr>
        <w:t>.</w:t>
      </w:r>
      <w:r w:rsidR="00B41FA7">
        <w:rPr>
          <w:rFonts w:ascii="Verdana" w:hAnsi="Verdana"/>
        </w:rPr>
        <w:t xml:space="preserve"> In accordance with clause 4.4 above, an expert should be consulted in advance to determine which actions should be taken should the Vulnerable Person show signs of worry during filming but when this is integral to the narrative</w:t>
      </w:r>
      <w:r w:rsidR="003270A2">
        <w:rPr>
          <w:rFonts w:ascii="Verdana" w:hAnsi="Verdana"/>
        </w:rPr>
        <w:t xml:space="preserve"> and/or is characteristic of the Vulnerable Person’s fragile state.</w:t>
      </w:r>
    </w:p>
    <w:p w14:paraId="3161FCB8" w14:textId="77777777" w:rsidR="00F63DEF" w:rsidRPr="00A26B29" w:rsidRDefault="00F63DEF" w:rsidP="00A26B29">
      <w:pPr>
        <w:pStyle w:val="ListParagraph"/>
        <w:rPr>
          <w:rFonts w:ascii="Verdana" w:hAnsi="Verdana"/>
        </w:rPr>
      </w:pPr>
    </w:p>
    <w:p w14:paraId="1DFA9BAC" w14:textId="77777777" w:rsidR="007C49D8" w:rsidRDefault="00F63DEF" w:rsidP="007C49D8">
      <w:pPr>
        <w:pStyle w:val="ListParagraph"/>
        <w:numPr>
          <w:ilvl w:val="1"/>
          <w:numId w:val="52"/>
        </w:numPr>
        <w:ind w:left="1701" w:hanging="850"/>
        <w:jc w:val="both"/>
        <w:rPr>
          <w:rFonts w:ascii="Verdana" w:hAnsi="Verdana"/>
        </w:rPr>
      </w:pPr>
      <w:r>
        <w:rPr>
          <w:rFonts w:ascii="Verdana" w:hAnsi="Verdana"/>
        </w:rPr>
        <w:t xml:space="preserve">Some matters/issues may become evident during production and the final decision on whether or not to include the material must consider how it would </w:t>
      </w:r>
      <w:proofErr w:type="spellStart"/>
      <w:r>
        <w:rPr>
          <w:rFonts w:ascii="Verdana" w:hAnsi="Verdana"/>
        </w:rPr>
        <w:t>effect</w:t>
      </w:r>
      <w:proofErr w:type="spellEnd"/>
      <w:r>
        <w:rPr>
          <w:rFonts w:ascii="Verdana" w:hAnsi="Verdana"/>
        </w:rPr>
        <w:t xml:space="preserve"> the individual, </w:t>
      </w:r>
      <w:r>
        <w:rPr>
          <w:rFonts w:ascii="Verdana" w:hAnsi="Verdana"/>
        </w:rPr>
        <w:lastRenderedPageBreak/>
        <w:t>how well known is the information in the individual’s immediate community, and what support is available to them now and going forward.</w:t>
      </w:r>
    </w:p>
    <w:p w14:paraId="3232D2DA" w14:textId="77777777" w:rsidR="007C49D8" w:rsidRDefault="007C49D8" w:rsidP="007C49D8">
      <w:pPr>
        <w:pStyle w:val="ListParagraph"/>
      </w:pPr>
    </w:p>
    <w:p w14:paraId="3933BD70" w14:textId="00CF3910" w:rsidR="007C49D8" w:rsidRPr="007C49D8" w:rsidRDefault="00222EDE" w:rsidP="007C49D8">
      <w:pPr>
        <w:pStyle w:val="ListParagraph"/>
        <w:ind w:left="1701"/>
        <w:jc w:val="both"/>
        <w:rPr>
          <w:rFonts w:ascii="Verdana" w:hAnsi="Verdana"/>
        </w:rPr>
      </w:pPr>
      <w:r w:rsidRPr="007C49D8">
        <w:rPr>
          <w:rFonts w:ascii="Verdana" w:hAnsi="Verdana"/>
        </w:rPr>
        <w:t>As a result of revealing aspects of individuals’ characters, some vulnerable contributors may be exposed to criticism in the press, on the internet or social media. This may have a negative psychological impact on individuals and so, when necessary, psychological assessments may be required to ensure that individuals are robust enough to cope with any possible consequences of the experience.</w:t>
      </w:r>
    </w:p>
    <w:p w14:paraId="28CCD389" w14:textId="77777777" w:rsidR="007C49D8" w:rsidRPr="007C49D8" w:rsidRDefault="007C49D8" w:rsidP="007C49D8">
      <w:pPr>
        <w:pStyle w:val="ListParagraph"/>
        <w:ind w:left="1701"/>
        <w:jc w:val="both"/>
      </w:pPr>
    </w:p>
    <w:p w14:paraId="4B654FF7" w14:textId="675C5C00" w:rsidR="005C1B4E" w:rsidRPr="00A26B29" w:rsidRDefault="005C1B4E" w:rsidP="00A26B29">
      <w:pPr>
        <w:pStyle w:val="ListParagraph"/>
        <w:numPr>
          <w:ilvl w:val="1"/>
          <w:numId w:val="52"/>
        </w:numPr>
        <w:spacing w:after="240"/>
        <w:ind w:left="1701" w:hanging="850"/>
        <w:jc w:val="both"/>
        <w:rPr>
          <w:rFonts w:ascii="Verdana" w:hAnsi="Verdana"/>
        </w:rPr>
      </w:pPr>
      <w:r>
        <w:rPr>
          <w:rFonts w:ascii="Verdana" w:hAnsi="Verdana"/>
        </w:rPr>
        <w:t>In order to provide evidence of how vulnerable contributors’ safety and welfare has been deal</w:t>
      </w:r>
      <w:r w:rsidR="008749D3">
        <w:rPr>
          <w:rFonts w:ascii="Verdana" w:hAnsi="Verdana"/>
        </w:rPr>
        <w:t>t</w:t>
      </w:r>
      <w:r>
        <w:rPr>
          <w:rFonts w:ascii="Verdana" w:hAnsi="Verdana"/>
        </w:rPr>
        <w:t xml:space="preserve"> with, it is good practice to document this information.</w:t>
      </w:r>
    </w:p>
    <w:p w14:paraId="775868E3" w14:textId="77777777" w:rsidR="002579E4" w:rsidRDefault="002579E4" w:rsidP="00C95A5A">
      <w:pPr>
        <w:ind w:left="1701" w:hanging="992"/>
        <w:jc w:val="both"/>
      </w:pPr>
    </w:p>
    <w:p w14:paraId="15BCBF55" w14:textId="77777777" w:rsidR="00E4732B" w:rsidRPr="00A56C7C" w:rsidRDefault="00E4732B" w:rsidP="00A26B29">
      <w:pPr>
        <w:pStyle w:val="ListParagraph"/>
        <w:numPr>
          <w:ilvl w:val="0"/>
          <w:numId w:val="52"/>
        </w:numPr>
        <w:ind w:left="1701" w:hanging="850"/>
        <w:jc w:val="both"/>
        <w:rPr>
          <w:rFonts w:ascii="Verdana" w:hAnsi="Verdana"/>
          <w:b/>
        </w:rPr>
      </w:pPr>
      <w:r w:rsidRPr="00A56C7C">
        <w:rPr>
          <w:rFonts w:ascii="Verdana" w:hAnsi="Verdana"/>
          <w:b/>
        </w:rPr>
        <w:t>Privacy</w:t>
      </w:r>
    </w:p>
    <w:p w14:paraId="0504E4E4" w14:textId="77777777" w:rsidR="009D258A" w:rsidRPr="00E4732B" w:rsidRDefault="009D258A" w:rsidP="008B1BF8">
      <w:pPr>
        <w:spacing w:after="0" w:line="240" w:lineRule="auto"/>
        <w:ind w:left="1418"/>
        <w:jc w:val="both"/>
      </w:pPr>
    </w:p>
    <w:p w14:paraId="27CDBD78" w14:textId="28CA8BA6" w:rsidR="00A56C7C" w:rsidRDefault="00E4732B" w:rsidP="00A26B29">
      <w:pPr>
        <w:pStyle w:val="ListParagraph"/>
        <w:numPr>
          <w:ilvl w:val="1"/>
          <w:numId w:val="52"/>
        </w:numPr>
        <w:ind w:left="1701" w:hanging="850"/>
        <w:jc w:val="both"/>
        <w:rPr>
          <w:rFonts w:ascii="Verdana" w:hAnsi="Verdana"/>
        </w:rPr>
      </w:pPr>
      <w:r w:rsidRPr="00A56C7C">
        <w:rPr>
          <w:rFonts w:ascii="Verdana" w:hAnsi="Verdana"/>
        </w:rPr>
        <w:t>If content</w:t>
      </w:r>
      <w:r>
        <w:rPr>
          <w:rFonts w:ascii="Verdana" w:hAnsi="Verdana"/>
        </w:rPr>
        <w:t xml:space="preserve"> features </w:t>
      </w:r>
      <w:r w:rsidR="00500F3A">
        <w:rPr>
          <w:rFonts w:ascii="Verdana" w:hAnsi="Verdana"/>
        </w:rPr>
        <w:t xml:space="preserve">the disclosure of personal information regarding </w:t>
      </w:r>
      <w:r>
        <w:rPr>
          <w:rFonts w:ascii="Verdana" w:hAnsi="Verdana"/>
        </w:rPr>
        <w:t xml:space="preserve">a Vulnerable Person </w:t>
      </w:r>
      <w:r w:rsidR="00500F3A">
        <w:rPr>
          <w:rFonts w:ascii="Verdana" w:hAnsi="Verdana"/>
        </w:rPr>
        <w:t>it may be appropriate to secure</w:t>
      </w:r>
      <w:r w:rsidR="00AD3698">
        <w:rPr>
          <w:rFonts w:ascii="Verdana" w:hAnsi="Verdana"/>
        </w:rPr>
        <w:t xml:space="preserve"> the consent</w:t>
      </w:r>
      <w:r w:rsidR="00A56C7C">
        <w:rPr>
          <w:rFonts w:ascii="Verdana" w:hAnsi="Verdana"/>
        </w:rPr>
        <w:t xml:space="preserve"> of the Vulnerable Person</w:t>
      </w:r>
      <w:r w:rsidR="00500F3A">
        <w:rPr>
          <w:rFonts w:ascii="Verdana" w:hAnsi="Verdana"/>
        </w:rPr>
        <w:t xml:space="preserve"> to such disclosure</w:t>
      </w:r>
      <w:r w:rsidR="00AD3698">
        <w:rPr>
          <w:rFonts w:ascii="Verdana" w:hAnsi="Verdana"/>
        </w:rPr>
        <w:t xml:space="preserve"> as well as</w:t>
      </w:r>
      <w:r w:rsidR="00A56C7C">
        <w:rPr>
          <w:rFonts w:ascii="Verdana" w:hAnsi="Verdana"/>
        </w:rPr>
        <w:t xml:space="preserve"> the consent of</w:t>
      </w:r>
      <w:r w:rsidR="00AD3698">
        <w:rPr>
          <w:rFonts w:ascii="Verdana" w:hAnsi="Verdana"/>
        </w:rPr>
        <w:t xml:space="preserve"> their primary adult carer</w:t>
      </w:r>
      <w:r w:rsidR="00A56C7C">
        <w:rPr>
          <w:rFonts w:ascii="Verdana" w:hAnsi="Verdana"/>
        </w:rPr>
        <w:t xml:space="preserve">. </w:t>
      </w:r>
      <w:r w:rsidR="007478BD">
        <w:rPr>
          <w:rFonts w:ascii="Verdana" w:hAnsi="Verdana"/>
        </w:rPr>
        <w:t xml:space="preserve"> There are limited circumstances where it is </w:t>
      </w:r>
      <w:r w:rsidR="00500F3A">
        <w:rPr>
          <w:rFonts w:ascii="Verdana" w:hAnsi="Verdana"/>
        </w:rPr>
        <w:t xml:space="preserve">justifiable </w:t>
      </w:r>
      <w:r w:rsidR="00A56C7C">
        <w:rPr>
          <w:rFonts w:ascii="Verdana" w:hAnsi="Verdana"/>
        </w:rPr>
        <w:t>to proceed without</w:t>
      </w:r>
      <w:r w:rsidR="00500F3A">
        <w:rPr>
          <w:rFonts w:ascii="Verdana" w:hAnsi="Verdana"/>
        </w:rPr>
        <w:t xml:space="preserve"> the</w:t>
      </w:r>
      <w:r w:rsidR="00A56C7C">
        <w:rPr>
          <w:rFonts w:ascii="Verdana" w:hAnsi="Verdana"/>
        </w:rPr>
        <w:t xml:space="preserve"> consent</w:t>
      </w:r>
      <w:r w:rsidR="00500F3A">
        <w:rPr>
          <w:rFonts w:ascii="Verdana" w:hAnsi="Verdana"/>
        </w:rPr>
        <w:t xml:space="preserve"> of the Vulnerable Person</w:t>
      </w:r>
      <w:r w:rsidR="007478BD">
        <w:rPr>
          <w:rFonts w:ascii="Verdana" w:hAnsi="Verdana"/>
        </w:rPr>
        <w:t>, but it will still be necessary to secure the consent of the Vulnerable Person’s primary carer in any event.  In such circumstances, each case will be judged on its own merits, and it is recommended that S4C’s legal department are consulted in those circumstances.</w:t>
      </w:r>
      <w:r w:rsidR="00A56C7C">
        <w:rPr>
          <w:rFonts w:ascii="Verdana" w:hAnsi="Verdana"/>
        </w:rPr>
        <w:t xml:space="preserve"> .</w:t>
      </w:r>
      <w:r w:rsidR="007C0D53">
        <w:rPr>
          <w:rFonts w:ascii="Verdana" w:hAnsi="Verdana"/>
        </w:rPr>
        <w:br/>
      </w:r>
    </w:p>
    <w:p w14:paraId="5FB75B64" w14:textId="5B74134E" w:rsidR="007C0D53" w:rsidRDefault="007C0D53" w:rsidP="00A26B29">
      <w:pPr>
        <w:pStyle w:val="ListParagraph"/>
        <w:numPr>
          <w:ilvl w:val="1"/>
          <w:numId w:val="52"/>
        </w:numPr>
        <w:spacing w:after="240"/>
        <w:ind w:left="1701" w:hanging="850"/>
        <w:jc w:val="both"/>
        <w:rPr>
          <w:rFonts w:ascii="Verdana" w:hAnsi="Verdana"/>
        </w:rPr>
      </w:pPr>
      <w:r>
        <w:rPr>
          <w:rFonts w:ascii="Verdana" w:hAnsi="Verdana"/>
        </w:rPr>
        <w:t xml:space="preserve">It should be considered whether the content could reveal information regarding the identity and location of the vulnerable </w:t>
      </w:r>
      <w:r w:rsidR="00BB4131">
        <w:rPr>
          <w:rFonts w:ascii="Verdana" w:hAnsi="Verdana"/>
        </w:rPr>
        <w:t>contributor</w:t>
      </w:r>
      <w:r>
        <w:rPr>
          <w:rFonts w:ascii="Verdana" w:hAnsi="Verdana"/>
        </w:rPr>
        <w:t xml:space="preserve"> and information relating to the vulnerable contributors, their </w:t>
      </w:r>
      <w:proofErr w:type="spellStart"/>
      <w:r>
        <w:rPr>
          <w:rFonts w:ascii="Verdana" w:hAnsi="Verdana"/>
        </w:rPr>
        <w:t>carers</w:t>
      </w:r>
      <w:proofErr w:type="spellEnd"/>
      <w:r>
        <w:rPr>
          <w:rFonts w:ascii="Verdana" w:hAnsi="Verdana"/>
        </w:rPr>
        <w:t>, friends or other relation should be protected by appropriate measures.</w:t>
      </w:r>
    </w:p>
    <w:p w14:paraId="4624AC82" w14:textId="4170BD68" w:rsidR="00D26E6D" w:rsidRPr="00A26B29" w:rsidRDefault="00D26E6D" w:rsidP="00A26B29">
      <w:pPr>
        <w:pStyle w:val="ListParagraph"/>
        <w:numPr>
          <w:ilvl w:val="0"/>
          <w:numId w:val="52"/>
        </w:numPr>
        <w:spacing w:after="240"/>
        <w:ind w:left="1701" w:hanging="1134"/>
        <w:jc w:val="both"/>
        <w:rPr>
          <w:rFonts w:ascii="Verdana" w:hAnsi="Verdana"/>
        </w:rPr>
      </w:pPr>
      <w:r>
        <w:rPr>
          <w:rFonts w:ascii="Verdana" w:hAnsi="Verdana"/>
          <w:b/>
        </w:rPr>
        <w:t>Anonymity</w:t>
      </w:r>
    </w:p>
    <w:p w14:paraId="1D1F0AD6" w14:textId="4823423E" w:rsidR="00D26E6D" w:rsidRDefault="00E4206A" w:rsidP="00A26B29">
      <w:pPr>
        <w:pStyle w:val="ListParagraph"/>
        <w:numPr>
          <w:ilvl w:val="1"/>
          <w:numId w:val="52"/>
        </w:numPr>
        <w:spacing w:after="240"/>
        <w:ind w:left="1701"/>
        <w:jc w:val="both"/>
        <w:rPr>
          <w:rFonts w:ascii="Verdana" w:hAnsi="Verdana"/>
        </w:rPr>
      </w:pPr>
      <w:r>
        <w:rPr>
          <w:rFonts w:ascii="Verdana" w:hAnsi="Verdana"/>
        </w:rPr>
        <w:t xml:space="preserve">In some instances, it </w:t>
      </w:r>
      <w:r w:rsidR="005E31B0">
        <w:rPr>
          <w:rFonts w:ascii="Verdana" w:hAnsi="Verdana"/>
        </w:rPr>
        <w:t>may</w:t>
      </w:r>
      <w:r>
        <w:rPr>
          <w:rFonts w:ascii="Verdana" w:hAnsi="Verdana"/>
        </w:rPr>
        <w:t xml:space="preserve"> be considered whether anonymity should be granted to vulnerable contributors.  This should only be offered if there is an editorial justification for doing so and the extent of the anonymity must be agreed</w:t>
      </w:r>
      <w:r w:rsidR="00493920">
        <w:rPr>
          <w:rFonts w:ascii="Verdana" w:hAnsi="Verdana"/>
        </w:rPr>
        <w:t xml:space="preserve">.  It should also be ensured </w:t>
      </w:r>
      <w:r>
        <w:rPr>
          <w:rFonts w:ascii="Verdana" w:hAnsi="Verdana"/>
        </w:rPr>
        <w:t>that t</w:t>
      </w:r>
      <w:r w:rsidR="00493920">
        <w:rPr>
          <w:rFonts w:ascii="Verdana" w:hAnsi="Verdana"/>
        </w:rPr>
        <w:t xml:space="preserve">he anonymity </w:t>
      </w:r>
      <w:r>
        <w:rPr>
          <w:rFonts w:ascii="Verdana" w:hAnsi="Verdana"/>
        </w:rPr>
        <w:t>can be honoured before agreeing to grant the right.</w:t>
      </w:r>
    </w:p>
    <w:p w14:paraId="4BAD16F6" w14:textId="4EEDC56C" w:rsidR="00E4206A" w:rsidRDefault="00E4206A" w:rsidP="00A26B29">
      <w:pPr>
        <w:pStyle w:val="ListParagraph"/>
        <w:numPr>
          <w:ilvl w:val="1"/>
          <w:numId w:val="52"/>
        </w:numPr>
        <w:spacing w:after="240"/>
        <w:ind w:left="1701" w:hanging="850"/>
        <w:jc w:val="both"/>
        <w:rPr>
          <w:rFonts w:ascii="Verdana" w:hAnsi="Verdana"/>
        </w:rPr>
      </w:pPr>
      <w:r>
        <w:rPr>
          <w:rFonts w:ascii="Verdana" w:hAnsi="Verdana"/>
        </w:rPr>
        <w:t xml:space="preserve">Victims and alleged victims of offences including rape and most offences with a sexual element have a lifelong right to be identified as victims of those offences regardless of whether the alleged crime has been reported to the police.  </w:t>
      </w:r>
      <w:r w:rsidR="000C6D66">
        <w:rPr>
          <w:rFonts w:ascii="Verdana" w:hAnsi="Verdana"/>
        </w:rPr>
        <w:t>Victims and alleged victims of female genital mutilation</w:t>
      </w:r>
      <w:r w:rsidR="00B466A0">
        <w:rPr>
          <w:rFonts w:ascii="Verdana" w:hAnsi="Verdana"/>
        </w:rPr>
        <w:t>,</w:t>
      </w:r>
      <w:r>
        <w:rPr>
          <w:rFonts w:ascii="Verdana" w:hAnsi="Verdana"/>
        </w:rPr>
        <w:t xml:space="preserve"> forced marriage and human trafficking are legally entitled to automatic anonymity in relation to the offences.</w:t>
      </w:r>
      <w:r w:rsidR="000C6D66">
        <w:rPr>
          <w:rFonts w:ascii="Verdana" w:hAnsi="Verdana"/>
        </w:rPr>
        <w:t xml:space="preserve">  Additionally, teachers accused of a criminal offence against a registered pupil at their school are entitled to lifelong anonymity but this right can be lifted in various circumstances.</w:t>
      </w:r>
    </w:p>
    <w:p w14:paraId="73F2889B" w14:textId="4D6CA96C" w:rsidR="001E7C55" w:rsidRPr="00A26B29" w:rsidRDefault="003156D0" w:rsidP="00A26B29">
      <w:pPr>
        <w:pStyle w:val="ListParagraph"/>
        <w:numPr>
          <w:ilvl w:val="0"/>
          <w:numId w:val="52"/>
        </w:numPr>
        <w:spacing w:after="240"/>
        <w:ind w:left="1701" w:hanging="1134"/>
        <w:jc w:val="both"/>
        <w:rPr>
          <w:rFonts w:ascii="Verdana" w:hAnsi="Verdana"/>
        </w:rPr>
      </w:pPr>
      <w:r>
        <w:rPr>
          <w:rFonts w:ascii="Verdana" w:hAnsi="Verdana"/>
          <w:b/>
        </w:rPr>
        <w:t>Aftercare</w:t>
      </w:r>
    </w:p>
    <w:p w14:paraId="5CAC739E" w14:textId="21800CF4" w:rsidR="003156D0" w:rsidRDefault="003156D0" w:rsidP="00A26B29">
      <w:pPr>
        <w:pStyle w:val="ListParagraph"/>
        <w:numPr>
          <w:ilvl w:val="1"/>
          <w:numId w:val="52"/>
        </w:numPr>
        <w:spacing w:after="240"/>
        <w:ind w:left="1701" w:hanging="850"/>
        <w:jc w:val="both"/>
        <w:rPr>
          <w:rFonts w:ascii="Verdana" w:hAnsi="Verdana"/>
        </w:rPr>
      </w:pPr>
      <w:r>
        <w:rPr>
          <w:rFonts w:ascii="Verdana" w:hAnsi="Verdana"/>
        </w:rPr>
        <w:t>If the nature of the content means that vulnerable contributors</w:t>
      </w:r>
      <w:r w:rsidR="00A57C1F">
        <w:rPr>
          <w:rFonts w:ascii="Verdana" w:hAnsi="Verdana"/>
        </w:rPr>
        <w:t xml:space="preserve"> </w:t>
      </w:r>
      <w:r>
        <w:rPr>
          <w:rFonts w:ascii="Verdana" w:hAnsi="Verdana"/>
        </w:rPr>
        <w:t>and all other contributors, will be put in pressurised or exposed situations, discussions should be held between Producers and relevant Commissioners to establish a plan for aftercare</w:t>
      </w:r>
      <w:r w:rsidR="00A40E79">
        <w:rPr>
          <w:rFonts w:ascii="Verdana" w:hAnsi="Verdana"/>
        </w:rPr>
        <w:t xml:space="preserve"> from the outset</w:t>
      </w:r>
      <w:r>
        <w:rPr>
          <w:rFonts w:ascii="Verdana" w:hAnsi="Verdana"/>
        </w:rPr>
        <w:t>.</w:t>
      </w:r>
    </w:p>
    <w:p w14:paraId="1AEA78BE" w14:textId="2C7CF98B" w:rsidR="00A56C7C" w:rsidRDefault="00A56C7C" w:rsidP="00A26B29">
      <w:pPr>
        <w:jc w:val="both"/>
      </w:pPr>
    </w:p>
    <w:p w14:paraId="517E24C2" w14:textId="77777777" w:rsidR="007C49D8" w:rsidRPr="008E263D" w:rsidRDefault="007C49D8" w:rsidP="00A26B29">
      <w:pPr>
        <w:jc w:val="both"/>
      </w:pPr>
    </w:p>
    <w:p w14:paraId="3026C3D3" w14:textId="77777777" w:rsidR="00A56C7C" w:rsidRPr="00A56C7C" w:rsidRDefault="00A56C7C" w:rsidP="00875224">
      <w:pPr>
        <w:pStyle w:val="ListParagraph"/>
        <w:ind w:left="1701" w:hanging="850"/>
        <w:rPr>
          <w:rFonts w:ascii="Verdana" w:hAnsi="Verdana"/>
        </w:rPr>
      </w:pPr>
    </w:p>
    <w:p w14:paraId="5A335556" w14:textId="77777777" w:rsidR="002579E4" w:rsidRPr="002579E4" w:rsidRDefault="000C64E9" w:rsidP="00A26B29">
      <w:pPr>
        <w:pStyle w:val="ListParagraph"/>
        <w:numPr>
          <w:ilvl w:val="0"/>
          <w:numId w:val="52"/>
        </w:numPr>
        <w:ind w:left="1701" w:hanging="850"/>
        <w:jc w:val="both"/>
        <w:rPr>
          <w:rFonts w:ascii="Verdana" w:hAnsi="Verdana"/>
          <w:b/>
        </w:rPr>
      </w:pPr>
      <w:r>
        <w:rPr>
          <w:rFonts w:ascii="Verdana" w:hAnsi="Verdana"/>
          <w:b/>
        </w:rPr>
        <w:t xml:space="preserve">On-line Activity and </w:t>
      </w:r>
      <w:r w:rsidR="002579E4" w:rsidRPr="002579E4">
        <w:rPr>
          <w:rFonts w:ascii="Verdana" w:hAnsi="Verdana"/>
          <w:b/>
        </w:rPr>
        <w:t>Social Media</w:t>
      </w:r>
    </w:p>
    <w:p w14:paraId="7E5D9C5B" w14:textId="77777777" w:rsidR="005D22E8" w:rsidRPr="005A0359" w:rsidRDefault="005D22E8" w:rsidP="008B1BF8">
      <w:pPr>
        <w:spacing w:after="0" w:line="240" w:lineRule="auto"/>
        <w:ind w:left="1418"/>
        <w:jc w:val="both"/>
      </w:pPr>
    </w:p>
    <w:p w14:paraId="68444046" w14:textId="73FF073B" w:rsidR="000C64E9" w:rsidRPr="005A0359" w:rsidRDefault="005A0359" w:rsidP="00A26B29">
      <w:pPr>
        <w:pStyle w:val="ListParagraph"/>
        <w:numPr>
          <w:ilvl w:val="1"/>
          <w:numId w:val="52"/>
        </w:numPr>
        <w:ind w:left="1701" w:hanging="850"/>
        <w:jc w:val="both"/>
        <w:rPr>
          <w:rFonts w:ascii="Verdana" w:hAnsi="Verdana"/>
        </w:rPr>
      </w:pPr>
      <w:r w:rsidRPr="005A0359">
        <w:rPr>
          <w:rFonts w:ascii="Verdana" w:hAnsi="Verdana"/>
        </w:rPr>
        <w:t xml:space="preserve">Online safety should </w:t>
      </w:r>
      <w:r>
        <w:rPr>
          <w:rFonts w:ascii="Verdana" w:hAnsi="Verdana"/>
        </w:rPr>
        <w:t>be considered when working with a Vulnerable Person</w:t>
      </w:r>
      <w:r w:rsidR="00F358BB">
        <w:rPr>
          <w:rFonts w:ascii="Verdana" w:hAnsi="Verdana"/>
        </w:rPr>
        <w:t>. Depending on the nature of the programme and the nature of the contribution of the Vulnerable Person, there may be an increased risk to the Vulnerable Person of suffering</w:t>
      </w:r>
      <w:r>
        <w:rPr>
          <w:rFonts w:ascii="Verdana" w:hAnsi="Verdana"/>
        </w:rPr>
        <w:t xml:space="preserve"> online harassment or bullying</w:t>
      </w:r>
      <w:r w:rsidR="00D86268">
        <w:rPr>
          <w:rFonts w:ascii="Verdana" w:hAnsi="Verdana"/>
        </w:rPr>
        <w:t>, and this should be assessed and mitigated where possible.</w:t>
      </w:r>
    </w:p>
    <w:p w14:paraId="1D62A8F4" w14:textId="77777777" w:rsidR="000C64E9" w:rsidRPr="005A0359" w:rsidRDefault="000C64E9" w:rsidP="00875224">
      <w:pPr>
        <w:pStyle w:val="ListParagraph"/>
        <w:ind w:left="1701" w:hanging="850"/>
        <w:jc w:val="both"/>
        <w:rPr>
          <w:rFonts w:ascii="Verdana" w:hAnsi="Verdana"/>
        </w:rPr>
      </w:pPr>
    </w:p>
    <w:p w14:paraId="6CF86537" w14:textId="378CE305" w:rsidR="000C64E9" w:rsidRDefault="005A0359" w:rsidP="00A26B29">
      <w:pPr>
        <w:pStyle w:val="ListParagraph"/>
        <w:numPr>
          <w:ilvl w:val="1"/>
          <w:numId w:val="52"/>
        </w:numPr>
        <w:ind w:left="1701" w:hanging="850"/>
        <w:jc w:val="both"/>
        <w:rPr>
          <w:rFonts w:ascii="Verdana" w:hAnsi="Verdana"/>
        </w:rPr>
      </w:pPr>
      <w:r>
        <w:rPr>
          <w:rFonts w:ascii="Verdana" w:hAnsi="Verdana"/>
        </w:rPr>
        <w:t>If the Vulnerable Person</w:t>
      </w:r>
      <w:r w:rsidR="002D7450">
        <w:rPr>
          <w:rFonts w:ascii="Verdana" w:hAnsi="Verdana"/>
        </w:rPr>
        <w:t xml:space="preserve"> owns social media accounts</w:t>
      </w:r>
      <w:r w:rsidR="00D86268">
        <w:rPr>
          <w:rFonts w:ascii="Verdana" w:hAnsi="Verdana"/>
        </w:rPr>
        <w:t xml:space="preserve"> then it is advised that the appropriate use of those social media accounts </w:t>
      </w:r>
      <w:r w:rsidR="00E21A0E">
        <w:rPr>
          <w:rFonts w:ascii="Verdana" w:hAnsi="Verdana"/>
        </w:rPr>
        <w:t xml:space="preserve">is discussed </w:t>
      </w:r>
      <w:r w:rsidR="00D86268">
        <w:rPr>
          <w:rFonts w:ascii="Verdana" w:hAnsi="Verdana"/>
        </w:rPr>
        <w:t>with the Vulnerable Person and/or their primary adult carer and in some cases it may be appropriate for those social media accounts to be temporarily suspended.</w:t>
      </w:r>
    </w:p>
    <w:p w14:paraId="708C1F83" w14:textId="77777777" w:rsidR="008D6D90" w:rsidRPr="00A26B29" w:rsidRDefault="008D6D90" w:rsidP="00A26B29">
      <w:pPr>
        <w:pStyle w:val="ListParagraph"/>
        <w:rPr>
          <w:rFonts w:ascii="Verdana" w:hAnsi="Verdana"/>
        </w:rPr>
      </w:pPr>
    </w:p>
    <w:p w14:paraId="32EE06EA" w14:textId="46A7498F" w:rsidR="008D6D90" w:rsidRPr="008D6D90" w:rsidRDefault="008D6D90" w:rsidP="00A26B29">
      <w:pPr>
        <w:pStyle w:val="ListParagraph"/>
        <w:numPr>
          <w:ilvl w:val="1"/>
          <w:numId w:val="52"/>
        </w:numPr>
        <w:ind w:left="1701" w:hanging="850"/>
        <w:jc w:val="both"/>
        <w:rPr>
          <w:rFonts w:ascii="Verdana" w:hAnsi="Verdana"/>
        </w:rPr>
      </w:pPr>
      <w:r>
        <w:rPr>
          <w:rFonts w:ascii="Verdana" w:hAnsi="Verdana"/>
        </w:rPr>
        <w:t>If the Vulnerable Person does continue to engage in social media activity during filming and/or broadcast, be it as part of the engagement itself or in general, then the Vulnerable Person and/or their primary adult carer should refer to ‘S4C’s Online and Social Media Guidelines for Contributors’ for best practice.</w:t>
      </w:r>
    </w:p>
    <w:p w14:paraId="104FE140" w14:textId="77777777" w:rsidR="00D86268" w:rsidRPr="00D86268" w:rsidRDefault="00D86268" w:rsidP="00875224">
      <w:pPr>
        <w:pStyle w:val="ListParagraph"/>
        <w:ind w:left="1701" w:hanging="850"/>
        <w:rPr>
          <w:rFonts w:ascii="Verdana" w:hAnsi="Verdana"/>
        </w:rPr>
      </w:pPr>
    </w:p>
    <w:p w14:paraId="6817FBFB" w14:textId="77777777" w:rsidR="0031186F" w:rsidRDefault="0031186F" w:rsidP="008B1BF8">
      <w:pPr>
        <w:spacing w:after="0" w:line="240" w:lineRule="auto"/>
        <w:ind w:left="1418"/>
        <w:jc w:val="both"/>
      </w:pPr>
    </w:p>
    <w:p w14:paraId="7B2AC3B1" w14:textId="77777777" w:rsidR="0031186F" w:rsidRDefault="0031186F" w:rsidP="008B1BF8">
      <w:pPr>
        <w:spacing w:after="0" w:line="240" w:lineRule="auto"/>
        <w:jc w:val="both"/>
      </w:pPr>
    </w:p>
    <w:p w14:paraId="32A252A4" w14:textId="77777777" w:rsidR="00875224" w:rsidRDefault="00875224" w:rsidP="008B1BF8">
      <w:pPr>
        <w:spacing w:after="0" w:line="240" w:lineRule="auto"/>
        <w:jc w:val="both"/>
      </w:pPr>
    </w:p>
    <w:p w14:paraId="18492271" w14:textId="77777777" w:rsidR="00875224" w:rsidRDefault="00875224" w:rsidP="008B1BF8">
      <w:pPr>
        <w:spacing w:after="0" w:line="240" w:lineRule="auto"/>
        <w:jc w:val="both"/>
      </w:pPr>
    </w:p>
    <w:p w14:paraId="48BAF9C1" w14:textId="77777777" w:rsidR="00875224" w:rsidRDefault="00875224" w:rsidP="008B1BF8">
      <w:pPr>
        <w:spacing w:after="0" w:line="240" w:lineRule="auto"/>
        <w:jc w:val="both"/>
      </w:pPr>
    </w:p>
    <w:p w14:paraId="480C3D80" w14:textId="77777777" w:rsidR="00875224" w:rsidRDefault="00875224" w:rsidP="008B1BF8">
      <w:pPr>
        <w:spacing w:after="0" w:line="240" w:lineRule="auto"/>
        <w:jc w:val="both"/>
      </w:pPr>
    </w:p>
    <w:p w14:paraId="18A02FEB" w14:textId="77777777" w:rsidR="00875224" w:rsidRDefault="00875224" w:rsidP="008B1BF8">
      <w:pPr>
        <w:spacing w:after="0" w:line="240" w:lineRule="auto"/>
        <w:jc w:val="both"/>
      </w:pPr>
    </w:p>
    <w:p w14:paraId="545B0ABC" w14:textId="77777777" w:rsidR="00875224" w:rsidRDefault="00875224" w:rsidP="008B1BF8">
      <w:pPr>
        <w:spacing w:after="0" w:line="240" w:lineRule="auto"/>
        <w:jc w:val="both"/>
      </w:pPr>
    </w:p>
    <w:p w14:paraId="43B7A943" w14:textId="77777777" w:rsidR="00875224" w:rsidRPr="00E276AD" w:rsidRDefault="00875224" w:rsidP="008B1BF8">
      <w:pPr>
        <w:spacing w:after="0" w:line="240" w:lineRule="auto"/>
        <w:jc w:val="both"/>
      </w:pPr>
    </w:p>
    <w:p w14:paraId="77E53672" w14:textId="77777777" w:rsidR="00875224" w:rsidRDefault="00875224" w:rsidP="008B1BF8">
      <w:pPr>
        <w:jc w:val="both"/>
      </w:pPr>
    </w:p>
    <w:p w14:paraId="2F669BB7" w14:textId="1ADFAFB9" w:rsidR="00BD1454" w:rsidRDefault="00BD1454">
      <w:pPr>
        <w:spacing w:after="0" w:line="240" w:lineRule="auto"/>
      </w:pPr>
      <w:r>
        <w:br w:type="page"/>
      </w:r>
    </w:p>
    <w:p w14:paraId="1264FF76" w14:textId="77777777" w:rsidR="00875224" w:rsidRPr="00E276AD" w:rsidRDefault="00875224" w:rsidP="008B1BF8">
      <w:pPr>
        <w:jc w:val="both"/>
      </w:pPr>
    </w:p>
    <w:p w14:paraId="0E708F54" w14:textId="77777777" w:rsidR="00200EF7" w:rsidRPr="00A30DA8" w:rsidRDefault="00200EF7" w:rsidP="008B1BF8">
      <w:pPr>
        <w:pStyle w:val="Default"/>
        <w:ind w:left="709"/>
        <w:jc w:val="both"/>
        <w:rPr>
          <w:rFonts w:ascii="Verdana" w:hAnsi="Verdana"/>
          <w:b/>
          <w:sz w:val="20"/>
          <w:szCs w:val="20"/>
        </w:rPr>
      </w:pPr>
      <w:r w:rsidRPr="00A30DA8">
        <w:rPr>
          <w:rFonts w:ascii="Verdana" w:hAnsi="Verdana"/>
          <w:b/>
          <w:sz w:val="20"/>
          <w:szCs w:val="20"/>
        </w:rPr>
        <w:t xml:space="preserve">APPENDIX </w:t>
      </w:r>
      <w:r w:rsidR="005B3CC7">
        <w:rPr>
          <w:rFonts w:ascii="Verdana" w:hAnsi="Verdana"/>
          <w:b/>
          <w:sz w:val="20"/>
          <w:szCs w:val="20"/>
        </w:rPr>
        <w:t>1</w:t>
      </w:r>
    </w:p>
    <w:p w14:paraId="0F3746CF" w14:textId="77777777" w:rsidR="00200EF7" w:rsidRPr="00A30DA8" w:rsidRDefault="00200EF7" w:rsidP="008B1BF8">
      <w:pPr>
        <w:pStyle w:val="Default"/>
        <w:ind w:left="1429"/>
        <w:jc w:val="both"/>
        <w:rPr>
          <w:rFonts w:ascii="Verdana" w:hAnsi="Verdana"/>
          <w:b/>
          <w:sz w:val="20"/>
          <w:szCs w:val="20"/>
        </w:rPr>
      </w:pPr>
    </w:p>
    <w:p w14:paraId="56A43D01" w14:textId="77777777" w:rsidR="00192A22" w:rsidRPr="00E276AD" w:rsidRDefault="00192A22" w:rsidP="008B1BF8">
      <w:pPr>
        <w:ind w:left="737" w:right="707"/>
        <w:jc w:val="both"/>
        <w:rPr>
          <w:b/>
        </w:rPr>
      </w:pPr>
      <w:r w:rsidRPr="00E276AD">
        <w:rPr>
          <w:b/>
        </w:rPr>
        <w:t>S4C</w:t>
      </w:r>
    </w:p>
    <w:p w14:paraId="75C525FA" w14:textId="77777777" w:rsidR="00192A22" w:rsidRPr="00677F48" w:rsidRDefault="005B3CC7" w:rsidP="008B1BF8">
      <w:pPr>
        <w:ind w:left="737" w:right="707"/>
        <w:jc w:val="both"/>
        <w:rPr>
          <w:b/>
        </w:rPr>
      </w:pPr>
      <w:r>
        <w:rPr>
          <w:b/>
        </w:rPr>
        <w:t xml:space="preserve">Safeguarding </w:t>
      </w:r>
      <w:r w:rsidR="008C4E3F" w:rsidRPr="00A30DA8">
        <w:rPr>
          <w:b/>
        </w:rPr>
        <w:t xml:space="preserve">Vulnerable </w:t>
      </w:r>
      <w:r w:rsidR="00917F73">
        <w:rPr>
          <w:b/>
        </w:rPr>
        <w:t>People</w:t>
      </w:r>
      <w:r w:rsidR="00917F73" w:rsidRPr="00A30DA8">
        <w:rPr>
          <w:b/>
        </w:rPr>
        <w:t xml:space="preserve"> </w:t>
      </w:r>
      <w:r w:rsidR="008C4E3F" w:rsidRPr="00A30DA8">
        <w:rPr>
          <w:b/>
        </w:rPr>
        <w:t>Self Declaration Form</w:t>
      </w:r>
    </w:p>
    <w:p w14:paraId="274EE720" w14:textId="4D3CAF34" w:rsidR="00192A22" w:rsidRPr="00677F48" w:rsidRDefault="00192A22" w:rsidP="008B1BF8">
      <w:pPr>
        <w:ind w:left="737" w:right="707"/>
        <w:jc w:val="both"/>
      </w:pPr>
      <w:r w:rsidRPr="00E276AD">
        <w:t xml:space="preserve">S4C </w:t>
      </w:r>
      <w:r w:rsidR="003270A2">
        <w:t>[</w:t>
      </w:r>
      <w:r w:rsidRPr="00E276AD">
        <w:t xml:space="preserve">and </w:t>
      </w:r>
      <w:r w:rsidRPr="00A30DA8">
        <w:rPr>
          <w:b/>
        </w:rPr>
        <w:t>[insert name of company</w:t>
      </w:r>
      <w:r w:rsidR="003270A2">
        <w:rPr>
          <w:b/>
        </w:rPr>
        <w:t xml:space="preserve"> if relevant</w:t>
      </w:r>
      <w:r w:rsidRPr="00A30DA8">
        <w:rPr>
          <w:b/>
        </w:rPr>
        <w:t>]</w:t>
      </w:r>
      <w:r w:rsidRPr="00A30DA8">
        <w:t xml:space="preserve"> (the “Company”)</w:t>
      </w:r>
      <w:r w:rsidR="003270A2">
        <w:t>]</w:t>
      </w:r>
      <w:r w:rsidRPr="00A30DA8">
        <w:t xml:space="preserve"> is committed to safeguarding the welfare of </w:t>
      </w:r>
      <w:r w:rsidR="009430A3" w:rsidRPr="00A30DA8">
        <w:t>V</w:t>
      </w:r>
      <w:r w:rsidR="00907B93" w:rsidRPr="00A30DA8">
        <w:t xml:space="preserve">ulnerable </w:t>
      </w:r>
      <w:r w:rsidR="00917F73">
        <w:t>People</w:t>
      </w:r>
      <w:r w:rsidRPr="00677F48">
        <w:t>.</w:t>
      </w:r>
    </w:p>
    <w:p w14:paraId="1905817B" w14:textId="79F85892" w:rsidR="00192A22" w:rsidRPr="00677F48" w:rsidRDefault="00FC562C" w:rsidP="008B1BF8">
      <w:pPr>
        <w:ind w:left="737" w:right="707"/>
        <w:jc w:val="both"/>
      </w:pPr>
      <w:r w:rsidRPr="001E1E39">
        <w:rPr>
          <w:b/>
        </w:rPr>
        <w:t>[insert name of individual]</w:t>
      </w:r>
      <w:r>
        <w:t xml:space="preserve"> (“</w:t>
      </w:r>
      <w:r w:rsidR="00192A22" w:rsidRPr="00E276AD">
        <w:t>You</w:t>
      </w:r>
      <w:r>
        <w:t>”)</w:t>
      </w:r>
      <w:r w:rsidR="00192A22" w:rsidRPr="00E276AD">
        <w:t xml:space="preserve"> will be required to complete this form if you </w:t>
      </w:r>
      <w:r w:rsidR="00130920" w:rsidRPr="00A30DA8">
        <w:t>undertake a role that fits either criteria A or B below</w:t>
      </w:r>
      <w:r w:rsidR="00BB5B44" w:rsidRPr="00A30DA8">
        <w:t>:</w:t>
      </w:r>
      <w:r w:rsidR="00192A22" w:rsidRPr="00677F48">
        <w:t>-</w:t>
      </w:r>
    </w:p>
    <w:p w14:paraId="034510C6" w14:textId="77777777" w:rsidR="00192A22" w:rsidRPr="00E276AD" w:rsidRDefault="00192A22" w:rsidP="008B1BF8">
      <w:pPr>
        <w:ind w:left="737" w:right="707"/>
        <w:jc w:val="both"/>
        <w:rPr>
          <w:b/>
        </w:rPr>
      </w:pPr>
      <w:r w:rsidRPr="00E276AD">
        <w:rPr>
          <w:b/>
        </w:rPr>
        <w:t xml:space="preserve">Criteria A </w:t>
      </w:r>
    </w:p>
    <w:p w14:paraId="0BA11B2E" w14:textId="77777777" w:rsidR="00192A22" w:rsidRPr="00677F48" w:rsidRDefault="00192A22" w:rsidP="008B1BF8">
      <w:pPr>
        <w:ind w:left="737" w:right="707"/>
        <w:jc w:val="both"/>
      </w:pPr>
      <w:r w:rsidRPr="00A30DA8">
        <w:t xml:space="preserve">Your role will involve working directly with </w:t>
      </w:r>
      <w:r w:rsidR="009430A3" w:rsidRPr="00A30DA8">
        <w:t xml:space="preserve">Vulnerable </w:t>
      </w:r>
      <w:r w:rsidR="00917F73">
        <w:t>People</w:t>
      </w:r>
      <w:r w:rsidR="00917F73" w:rsidRPr="00677F48">
        <w:t xml:space="preserve"> </w:t>
      </w:r>
      <w:r w:rsidRPr="00677F48">
        <w:t>in a situation where a standard or enhanced DBS certificate can legally be requested i.e. where the position is one that is ‘exempt’ from the Rehabilitation of Offenders Act 1974 as listed in the Rehabilitation of Offenders Act 1974 (Exemp</w:t>
      </w:r>
      <w:r w:rsidRPr="00E276AD">
        <w:t>tions Order) 1975 as amended. This includes those undertaking Regulated Activity as defined in the Safeguarding Vulnerable Groups Act 2006</w:t>
      </w:r>
      <w:r w:rsidR="00003054" w:rsidRPr="00A30DA8">
        <w:t xml:space="preserve"> (SVGA)</w:t>
      </w:r>
      <w:r w:rsidRPr="00677F48">
        <w:t xml:space="preserve"> as amended by the Protection of Freedoms Act 2012</w:t>
      </w:r>
      <w:r w:rsidR="009430A3" w:rsidRPr="00A30DA8">
        <w:t xml:space="preserve"> (PFA)</w:t>
      </w:r>
      <w:r w:rsidRPr="00677F48">
        <w:t>.</w:t>
      </w:r>
    </w:p>
    <w:p w14:paraId="3E9C5D60" w14:textId="77777777" w:rsidR="00192A22" w:rsidRPr="00A30DA8" w:rsidRDefault="00192A22" w:rsidP="008B1BF8">
      <w:pPr>
        <w:ind w:left="737" w:right="707"/>
        <w:jc w:val="both"/>
      </w:pPr>
      <w:r w:rsidRPr="00E276AD">
        <w:t>You are required to disclose all convictions (spent a</w:t>
      </w:r>
      <w:r w:rsidRPr="00A30DA8">
        <w:t>nd unspent), cautions, reprimands and final warnings and any other relevant non-conviction information which are not eligible for filtering.</w:t>
      </w:r>
    </w:p>
    <w:p w14:paraId="0FB6F60C" w14:textId="77777777" w:rsidR="00192A22" w:rsidRPr="00A30DA8" w:rsidRDefault="00192A22" w:rsidP="008B1BF8">
      <w:pPr>
        <w:ind w:left="737" w:right="707"/>
        <w:jc w:val="both"/>
        <w:rPr>
          <w:b/>
        </w:rPr>
      </w:pPr>
      <w:r w:rsidRPr="00A30DA8">
        <w:rPr>
          <w:b/>
        </w:rPr>
        <w:t>Criteria B</w:t>
      </w:r>
    </w:p>
    <w:p w14:paraId="7909EE2B" w14:textId="77777777" w:rsidR="00192A22" w:rsidRPr="00677F48" w:rsidRDefault="00192A22" w:rsidP="008B1BF8">
      <w:pPr>
        <w:ind w:left="737" w:right="707"/>
        <w:jc w:val="both"/>
      </w:pPr>
      <w:r w:rsidRPr="00A30DA8">
        <w:t>Your role does not usually involv</w:t>
      </w:r>
      <w:r w:rsidR="00003054" w:rsidRPr="00A30DA8">
        <w:t>e working with V</w:t>
      </w:r>
      <w:r w:rsidRPr="00677F48">
        <w:t>ulnerable</w:t>
      </w:r>
      <w:r w:rsidR="00003054" w:rsidRPr="00A30DA8">
        <w:t xml:space="preserve"> </w:t>
      </w:r>
      <w:r w:rsidR="00942443">
        <w:t>People</w:t>
      </w:r>
      <w:r w:rsidR="00942443" w:rsidRPr="00677F48">
        <w:t xml:space="preserve"> </w:t>
      </w:r>
      <w:r w:rsidRPr="00677F48">
        <w:t>but you may on occasion co</w:t>
      </w:r>
      <w:r w:rsidRPr="00E276AD">
        <w:t>m</w:t>
      </w:r>
      <w:r w:rsidR="00003054" w:rsidRPr="00A30DA8">
        <w:t xml:space="preserve">e into supervised contact with Vulnerable </w:t>
      </w:r>
      <w:r w:rsidR="00942443">
        <w:t>People</w:t>
      </w:r>
      <w:r w:rsidRPr="00677F48">
        <w:t>. You do not need to disclose spent convictions in these circumstances.</w:t>
      </w:r>
    </w:p>
    <w:p w14:paraId="0D02D039" w14:textId="77777777" w:rsidR="00192A22" w:rsidRPr="00E276AD" w:rsidRDefault="00192A22" w:rsidP="008B1BF8">
      <w:pPr>
        <w:ind w:left="737" w:right="707"/>
        <w:jc w:val="both"/>
        <w:rPr>
          <w:b/>
        </w:rPr>
      </w:pPr>
      <w:proofErr w:type="spellStart"/>
      <w:r w:rsidRPr="00E276AD">
        <w:rPr>
          <w:b/>
        </w:rPr>
        <w:t>Self Declaration</w:t>
      </w:r>
      <w:proofErr w:type="spellEnd"/>
      <w:r w:rsidRPr="00E276AD">
        <w:rPr>
          <w:b/>
        </w:rPr>
        <w:t xml:space="preserve"> </w:t>
      </w:r>
    </w:p>
    <w:p w14:paraId="3FFAE410" w14:textId="77777777" w:rsidR="00192A22" w:rsidRPr="00A30DA8" w:rsidRDefault="00192A22" w:rsidP="008B1BF8">
      <w:pPr>
        <w:ind w:left="737" w:right="707"/>
        <w:jc w:val="both"/>
      </w:pPr>
      <w:r w:rsidRPr="00A30DA8">
        <w:t>I declare that:-</w:t>
      </w:r>
    </w:p>
    <w:p w14:paraId="170C0CFC" w14:textId="77777777" w:rsidR="00192A22" w:rsidRPr="00A30DA8" w:rsidRDefault="00192A22" w:rsidP="008B1BF8">
      <w:pPr>
        <w:numPr>
          <w:ilvl w:val="0"/>
          <w:numId w:val="38"/>
        </w:numPr>
        <w:spacing w:after="0" w:line="240" w:lineRule="auto"/>
        <w:ind w:left="1276" w:right="707" w:hanging="425"/>
        <w:jc w:val="both"/>
      </w:pPr>
      <w:r w:rsidRPr="00A30DA8">
        <w:t xml:space="preserve">I do not have convictions in the UK or in any other country.  </w:t>
      </w:r>
    </w:p>
    <w:p w14:paraId="445AEADA" w14:textId="67435EBE" w:rsidR="00192A22" w:rsidRPr="00677F48" w:rsidRDefault="00192A22" w:rsidP="008B1BF8">
      <w:pPr>
        <w:ind w:left="1276" w:right="707"/>
        <w:jc w:val="both"/>
        <w:rPr>
          <w:highlight w:val="yellow"/>
        </w:rPr>
      </w:pPr>
      <w:r w:rsidRPr="00A30DA8">
        <w:t>(</w:t>
      </w:r>
      <w:r w:rsidR="00130920" w:rsidRPr="00A30DA8">
        <w:t xml:space="preserve">You need to disclose all convictions including spent convictions if criteria A </w:t>
      </w:r>
      <w:r w:rsidRPr="00677F48">
        <w:t>applies</w:t>
      </w:r>
      <w:r w:rsidR="00130920" w:rsidRPr="00A30DA8">
        <w:rPr>
          <w:rStyle w:val="FootnoteReference"/>
        </w:rPr>
        <w:footnoteReference w:id="2"/>
      </w:r>
      <w:r w:rsidR="00036FDC" w:rsidRPr="00A30DA8">
        <w:t>)</w:t>
      </w:r>
    </w:p>
    <w:p w14:paraId="6EF075B9" w14:textId="77777777" w:rsidR="00192A22" w:rsidRPr="00677F48" w:rsidRDefault="00192A22" w:rsidP="008B1BF8">
      <w:pPr>
        <w:numPr>
          <w:ilvl w:val="0"/>
          <w:numId w:val="38"/>
        </w:numPr>
        <w:spacing w:after="0" w:line="240" w:lineRule="auto"/>
        <w:ind w:left="1276" w:right="707" w:hanging="425"/>
        <w:jc w:val="both"/>
      </w:pPr>
      <w:r w:rsidRPr="00E276AD">
        <w:t>I have never been subject to any disciplinary act</w:t>
      </w:r>
      <w:r w:rsidR="00991E7B" w:rsidRPr="00A30DA8">
        <w:t>ion or sanction in relation to V</w:t>
      </w:r>
      <w:r w:rsidRPr="00677F48">
        <w:t xml:space="preserve">ulnerable </w:t>
      </w:r>
      <w:r w:rsidR="00942443">
        <w:t>People</w:t>
      </w:r>
      <w:r w:rsidRPr="00677F48">
        <w:t>. My name is not on the Sex Offenders Register and I am not known to the Police o</w:t>
      </w:r>
      <w:r w:rsidRPr="00E276AD">
        <w:t>r any Local Authority Social Services Department, or any employer, as being an actual or</w:t>
      </w:r>
      <w:r w:rsidR="009430A3" w:rsidRPr="00A30DA8">
        <w:t xml:space="preserve"> potential risk to V</w:t>
      </w:r>
      <w:r w:rsidRPr="00677F48">
        <w:t xml:space="preserve">ulnerable </w:t>
      </w:r>
      <w:r w:rsidR="00942443">
        <w:t>People</w:t>
      </w:r>
      <w:r w:rsidRPr="00677F48">
        <w:t>.</w:t>
      </w:r>
    </w:p>
    <w:p w14:paraId="19E133D1" w14:textId="77777777" w:rsidR="00192A22" w:rsidRPr="00E276AD" w:rsidRDefault="00192A22" w:rsidP="008B1BF8">
      <w:pPr>
        <w:spacing w:after="0" w:line="240" w:lineRule="auto"/>
        <w:ind w:left="1276" w:right="707" w:hanging="425"/>
        <w:jc w:val="both"/>
      </w:pPr>
    </w:p>
    <w:p w14:paraId="6F8DAB45" w14:textId="77777777" w:rsidR="00192A22" w:rsidRPr="00E276AD" w:rsidRDefault="00192A22" w:rsidP="008B1BF8">
      <w:pPr>
        <w:numPr>
          <w:ilvl w:val="0"/>
          <w:numId w:val="38"/>
        </w:numPr>
        <w:spacing w:after="0" w:line="240" w:lineRule="auto"/>
        <w:ind w:left="1276" w:right="707" w:hanging="425"/>
        <w:jc w:val="both"/>
      </w:pPr>
      <w:r w:rsidRPr="00A30DA8">
        <w:t>I confirm that I am not b</w:t>
      </w:r>
      <w:r w:rsidR="00991E7B" w:rsidRPr="00A30DA8">
        <w:t xml:space="preserve">arred from regulated work with Vulnerable </w:t>
      </w:r>
      <w:r w:rsidR="00942443">
        <w:t>People</w:t>
      </w:r>
      <w:r w:rsidR="00942443" w:rsidRPr="00677F48">
        <w:t xml:space="preserve"> </w:t>
      </w:r>
      <w:r w:rsidRPr="00677F48">
        <w:t>pursuant to the Safeguarding Vu</w:t>
      </w:r>
      <w:r w:rsidRPr="00E276AD">
        <w:t xml:space="preserve">lnerable Groups Act </w:t>
      </w:r>
      <w:r w:rsidR="007A6C48" w:rsidRPr="00E276AD">
        <w:t>20</w:t>
      </w:r>
      <w:r w:rsidR="007A6C48">
        <w:t>0</w:t>
      </w:r>
      <w:r w:rsidR="007A6C48" w:rsidRPr="00E276AD">
        <w:t>6</w:t>
      </w:r>
      <w:r w:rsidRPr="00E276AD">
        <w:t xml:space="preserve">.  </w:t>
      </w:r>
    </w:p>
    <w:p w14:paraId="28F067CF" w14:textId="77777777" w:rsidR="00192A22" w:rsidRPr="00A30DA8" w:rsidRDefault="00192A22" w:rsidP="008B1BF8">
      <w:pPr>
        <w:spacing w:after="0" w:line="240" w:lineRule="auto"/>
        <w:ind w:left="1276" w:right="707" w:hanging="425"/>
        <w:jc w:val="both"/>
      </w:pPr>
    </w:p>
    <w:p w14:paraId="29CB3FDA" w14:textId="42791124" w:rsidR="00192A22" w:rsidRPr="00A30DA8" w:rsidRDefault="00192A22" w:rsidP="008B1BF8">
      <w:pPr>
        <w:numPr>
          <w:ilvl w:val="0"/>
          <w:numId w:val="38"/>
        </w:numPr>
        <w:spacing w:after="0" w:line="240" w:lineRule="auto"/>
        <w:ind w:left="1276" w:right="707" w:hanging="425"/>
        <w:jc w:val="both"/>
      </w:pPr>
      <w:r w:rsidRPr="00A30DA8">
        <w:lastRenderedPageBreak/>
        <w:t xml:space="preserve">If in the future any of points 1-3 apply then I will immediately inform </w:t>
      </w:r>
      <w:r w:rsidR="003270A2">
        <w:t xml:space="preserve">S4C [and </w:t>
      </w:r>
      <w:r w:rsidRPr="00A30DA8">
        <w:t>the Company</w:t>
      </w:r>
      <w:r w:rsidR="003270A2">
        <w:t>]</w:t>
      </w:r>
      <w:r w:rsidRPr="00A30DA8">
        <w:t>.</w:t>
      </w:r>
    </w:p>
    <w:p w14:paraId="755D44E4" w14:textId="77777777" w:rsidR="00192A22" w:rsidRPr="00A30DA8" w:rsidRDefault="00192A22" w:rsidP="008B1BF8">
      <w:pPr>
        <w:ind w:left="737" w:right="707"/>
        <w:jc w:val="both"/>
      </w:pPr>
    </w:p>
    <w:p w14:paraId="1628CF99" w14:textId="48438DE1" w:rsidR="00192A22" w:rsidRPr="00677F48" w:rsidRDefault="00192A22" w:rsidP="008B1BF8">
      <w:pPr>
        <w:ind w:left="737" w:right="707"/>
        <w:jc w:val="both"/>
      </w:pPr>
      <w:r w:rsidRPr="001822D8">
        <w:t xml:space="preserve">S4C </w:t>
      </w:r>
      <w:r w:rsidR="003270A2">
        <w:t>[</w:t>
      </w:r>
      <w:r w:rsidRPr="001822D8">
        <w:t>and the Company</w:t>
      </w:r>
      <w:r w:rsidR="003270A2">
        <w:t>]</w:t>
      </w:r>
      <w:r w:rsidRPr="001822D8">
        <w:t xml:space="preserve"> reserves the right to verify the information you have given on this form.  By signing this form you consent to S4C </w:t>
      </w:r>
      <w:r w:rsidR="003270A2">
        <w:t>[</w:t>
      </w:r>
      <w:r w:rsidRPr="001822D8">
        <w:t>and the Company</w:t>
      </w:r>
      <w:r w:rsidR="003270A2">
        <w:t>]</w:t>
      </w:r>
      <w:r w:rsidRPr="001822D8">
        <w:t xml:space="preserve"> processing and keeping the data for the purp</w:t>
      </w:r>
      <w:r w:rsidR="009430A3" w:rsidRPr="00A30DA8">
        <w:t>oses of V</w:t>
      </w:r>
      <w:r w:rsidRPr="00677F48">
        <w:t xml:space="preserve">ulnerable </w:t>
      </w:r>
      <w:r w:rsidR="00942443">
        <w:t>People</w:t>
      </w:r>
      <w:r w:rsidR="00942443" w:rsidRPr="00677F48">
        <w:t xml:space="preserve"> </w:t>
      </w:r>
      <w:r w:rsidRPr="00677F48">
        <w:t>protection and the control of health and sa</w:t>
      </w:r>
      <w:r w:rsidR="00BB5B44" w:rsidRPr="00A30DA8">
        <w:t>fety risk in accordance with</w:t>
      </w:r>
      <w:r w:rsidRPr="00677F48">
        <w:t xml:space="preserve"> Data Protection </w:t>
      </w:r>
      <w:r w:rsidR="00130920" w:rsidRPr="00A30DA8">
        <w:t>Laws and Regulations</w:t>
      </w:r>
      <w:r w:rsidRPr="00677F48">
        <w:t xml:space="preserve">. </w:t>
      </w:r>
    </w:p>
    <w:p w14:paraId="36B0E24C" w14:textId="7534DEC8" w:rsidR="00192A22" w:rsidRPr="00E276AD" w:rsidRDefault="00192A22" w:rsidP="008B1BF8">
      <w:pPr>
        <w:ind w:left="737" w:right="707"/>
        <w:jc w:val="both"/>
      </w:pPr>
      <w:r w:rsidRPr="00E276AD">
        <w:t>I confirm that I am committed to the aims and objective</w:t>
      </w:r>
      <w:r w:rsidRPr="00A30DA8">
        <w:t xml:space="preserve">s of S4C </w:t>
      </w:r>
      <w:r w:rsidR="003270A2">
        <w:t>[</w:t>
      </w:r>
      <w:r w:rsidRPr="00A30DA8">
        <w:t>and</w:t>
      </w:r>
      <w:r w:rsidR="00942443">
        <w:t xml:space="preserve"> the</w:t>
      </w:r>
      <w:r w:rsidRPr="00A30DA8">
        <w:t xml:space="preserve"> Company</w:t>
      </w:r>
      <w:r w:rsidR="003270A2">
        <w:t>]</w:t>
      </w:r>
      <w:r w:rsidRPr="00A30DA8">
        <w:t xml:space="preserve"> </w:t>
      </w:r>
      <w:r w:rsidR="009430A3" w:rsidRPr="00A30DA8">
        <w:t>in protecting and safeguarding V</w:t>
      </w:r>
      <w:r w:rsidRPr="00677F48">
        <w:t xml:space="preserve">ulnerable </w:t>
      </w:r>
      <w:r w:rsidR="00942443">
        <w:t>People</w:t>
      </w:r>
      <w:r w:rsidR="00942443" w:rsidRPr="00677F48">
        <w:t xml:space="preserve"> </w:t>
      </w:r>
      <w:r w:rsidRPr="00677F48">
        <w:t xml:space="preserve">from abuse.  I understand that to knowingly give false information or to omit information will be considered a breach of trust and could result in my dismissal </w:t>
      </w:r>
      <w:r w:rsidR="004C055F">
        <w:t>and/or termination of my employment contract</w:t>
      </w:r>
      <w:r w:rsidR="00715157">
        <w:t>/contract for services</w:t>
      </w:r>
      <w:r w:rsidR="004C055F">
        <w:t xml:space="preserve"> </w:t>
      </w:r>
      <w:r w:rsidRPr="00E276AD">
        <w:t>at any time in the future.  I declare that the information I have given on this form is correct.</w:t>
      </w:r>
    </w:p>
    <w:p w14:paraId="3AE63C8D" w14:textId="77777777" w:rsidR="00192A22" w:rsidRPr="00A30DA8" w:rsidRDefault="00192A22" w:rsidP="008B1BF8">
      <w:pPr>
        <w:ind w:left="737" w:right="707"/>
        <w:jc w:val="both"/>
      </w:pPr>
    </w:p>
    <w:p w14:paraId="2DADB6E1" w14:textId="5FC1D0B6" w:rsidR="00192A22" w:rsidRPr="00A30DA8" w:rsidRDefault="00192A22" w:rsidP="008B1BF8">
      <w:pPr>
        <w:ind w:left="737" w:right="707"/>
        <w:jc w:val="both"/>
      </w:pPr>
      <w:r w:rsidRPr="00A30DA8">
        <w:t>Signed………………………………………….</w:t>
      </w:r>
      <w:r w:rsidR="00FC562C">
        <w:t xml:space="preserve"> (You)</w:t>
      </w:r>
    </w:p>
    <w:p w14:paraId="7C4D9E6A" w14:textId="77777777" w:rsidR="00192A22" w:rsidRPr="00A30DA8" w:rsidRDefault="00192A22" w:rsidP="008B1BF8">
      <w:pPr>
        <w:ind w:left="737" w:right="707"/>
        <w:jc w:val="both"/>
      </w:pPr>
    </w:p>
    <w:p w14:paraId="48C3500E" w14:textId="77777777" w:rsidR="00192A22" w:rsidRPr="001822D8" w:rsidRDefault="00192A22" w:rsidP="008B1BF8">
      <w:pPr>
        <w:ind w:left="737" w:right="707"/>
        <w:jc w:val="both"/>
      </w:pPr>
      <w:r w:rsidRPr="001822D8">
        <w:t>Dated……………………………………………</w:t>
      </w:r>
    </w:p>
    <w:p w14:paraId="07E2F332" w14:textId="77777777" w:rsidR="00192A22" w:rsidRPr="00DF7DEA" w:rsidRDefault="00192A22" w:rsidP="008B1BF8">
      <w:pPr>
        <w:ind w:left="737" w:right="707"/>
        <w:jc w:val="both"/>
      </w:pPr>
    </w:p>
    <w:p w14:paraId="28986AEE" w14:textId="5F8FF30B" w:rsidR="00192A22" w:rsidRPr="00677F48" w:rsidRDefault="00192A22" w:rsidP="008B1BF8">
      <w:pPr>
        <w:ind w:left="737" w:right="707"/>
        <w:jc w:val="both"/>
        <w:rPr>
          <w:b/>
        </w:rPr>
      </w:pPr>
      <w:r w:rsidRPr="007D1041">
        <w:rPr>
          <w:b/>
        </w:rPr>
        <w:t xml:space="preserve">If </w:t>
      </w:r>
      <w:r w:rsidR="00FC562C">
        <w:rPr>
          <w:b/>
        </w:rPr>
        <w:t>Y</w:t>
      </w:r>
      <w:r w:rsidRPr="007D1041">
        <w:rPr>
          <w:b/>
        </w:rPr>
        <w:t xml:space="preserve">ou are unable to make this declaration, </w:t>
      </w:r>
      <w:r w:rsidR="00FC562C">
        <w:rPr>
          <w:b/>
        </w:rPr>
        <w:t>Y</w:t>
      </w:r>
      <w:r w:rsidRPr="007D1041">
        <w:rPr>
          <w:b/>
        </w:rPr>
        <w:t xml:space="preserve">ou must inform </w:t>
      </w:r>
      <w:r w:rsidR="003270A2">
        <w:rPr>
          <w:b/>
        </w:rPr>
        <w:t xml:space="preserve">S4C [and </w:t>
      </w:r>
      <w:r w:rsidRPr="007D1041">
        <w:rPr>
          <w:b/>
        </w:rPr>
        <w:t>the Company</w:t>
      </w:r>
      <w:r w:rsidR="003270A2">
        <w:rPr>
          <w:b/>
        </w:rPr>
        <w:t>]</w:t>
      </w:r>
      <w:r w:rsidRPr="007D1041">
        <w:rPr>
          <w:b/>
        </w:rPr>
        <w:t xml:space="preserve"> and </w:t>
      </w:r>
      <w:r w:rsidR="00FC562C">
        <w:rPr>
          <w:b/>
        </w:rPr>
        <w:t>Y</w:t>
      </w:r>
      <w:r w:rsidRPr="007D1041">
        <w:rPr>
          <w:b/>
        </w:rPr>
        <w:t>ou may not, depending on the circumstances be able to work on any programme which entails working with, or bei</w:t>
      </w:r>
      <w:r w:rsidR="00991E7B" w:rsidRPr="00A30DA8">
        <w:rPr>
          <w:b/>
        </w:rPr>
        <w:t>ng in contact with V</w:t>
      </w:r>
      <w:r w:rsidRPr="00677F48">
        <w:rPr>
          <w:b/>
        </w:rPr>
        <w:t>ulnerable</w:t>
      </w:r>
      <w:r w:rsidR="00991E7B" w:rsidRPr="00A30DA8">
        <w:rPr>
          <w:b/>
        </w:rPr>
        <w:t xml:space="preserve"> </w:t>
      </w:r>
      <w:r w:rsidR="00942443">
        <w:rPr>
          <w:b/>
        </w:rPr>
        <w:t>People</w:t>
      </w:r>
      <w:r w:rsidRPr="00677F48">
        <w:rPr>
          <w:b/>
        </w:rPr>
        <w:t xml:space="preserve">.  </w:t>
      </w:r>
    </w:p>
    <w:p w14:paraId="7A4AF4EA" w14:textId="77777777" w:rsidR="003C78EC" w:rsidRPr="00A30DA8" w:rsidRDefault="003C78EC" w:rsidP="008B1BF8">
      <w:pPr>
        <w:spacing w:line="240" w:lineRule="auto"/>
        <w:jc w:val="both"/>
        <w:rPr>
          <w:rFonts w:cs="Arial"/>
          <w:b/>
        </w:rPr>
      </w:pPr>
    </w:p>
    <w:p w14:paraId="28A2A7A6" w14:textId="77777777" w:rsidR="003C78EC" w:rsidRPr="00A30DA8" w:rsidRDefault="003C78EC" w:rsidP="008B1BF8">
      <w:pPr>
        <w:spacing w:line="240" w:lineRule="auto"/>
        <w:jc w:val="both"/>
        <w:rPr>
          <w:rFonts w:cs="Arial"/>
          <w:b/>
        </w:rPr>
      </w:pPr>
      <w:r w:rsidRPr="00A30DA8">
        <w:rPr>
          <w:rFonts w:cs="Arial"/>
        </w:rPr>
        <w:tab/>
      </w:r>
      <w:r w:rsidRPr="00A30DA8">
        <w:rPr>
          <w:rFonts w:cs="Arial"/>
          <w:b/>
        </w:rPr>
        <w:t>Definitions</w:t>
      </w:r>
    </w:p>
    <w:p w14:paraId="030661DA" w14:textId="10958792" w:rsidR="003C78EC" w:rsidRPr="00A30DA8" w:rsidRDefault="003C78EC" w:rsidP="00942443">
      <w:pPr>
        <w:spacing w:line="240" w:lineRule="auto"/>
        <w:jc w:val="both"/>
        <w:rPr>
          <w:rFonts w:cs="Arial"/>
        </w:rPr>
      </w:pPr>
      <w:r w:rsidRPr="00A30DA8">
        <w:rPr>
          <w:rFonts w:cs="Arial"/>
        </w:rPr>
        <w:tab/>
      </w:r>
      <w:r w:rsidR="00DF6C7D">
        <w:rPr>
          <w:rFonts w:cs="Arial"/>
        </w:rPr>
        <w:t>A “child” is a person who is under 18 years old as stipulated in section 60(1) of the SVGA 2006</w:t>
      </w:r>
      <w:r w:rsidR="006F3CA0">
        <w:rPr>
          <w:rFonts w:cs="Arial"/>
        </w:rPr>
        <w:t>.</w:t>
      </w:r>
    </w:p>
    <w:p w14:paraId="26E493CE" w14:textId="493D3B75" w:rsidR="003C78EC" w:rsidRPr="00A30DA8" w:rsidRDefault="009430A3" w:rsidP="008B1BF8">
      <w:pPr>
        <w:spacing w:line="240" w:lineRule="auto"/>
        <w:jc w:val="both"/>
        <w:rPr>
          <w:rFonts w:cs="Arial"/>
        </w:rPr>
      </w:pPr>
      <w:r w:rsidRPr="00A30DA8">
        <w:rPr>
          <w:rFonts w:cs="Arial"/>
        </w:rPr>
        <w:tab/>
      </w:r>
      <w:r w:rsidR="00DF6C7D">
        <w:rPr>
          <w:rFonts w:cs="Arial"/>
        </w:rPr>
        <w:t>A “vulnerable adult” is a person who is:</w:t>
      </w:r>
      <w:r w:rsidR="00942443" w:rsidRPr="00A30DA8">
        <w:rPr>
          <w:rFonts w:cs="Arial"/>
        </w:rPr>
        <w:t xml:space="preserve"> </w:t>
      </w:r>
    </w:p>
    <w:p w14:paraId="2A0714BD" w14:textId="06FEB937" w:rsidR="003C78EC" w:rsidRPr="00A30DA8" w:rsidRDefault="003C78EC" w:rsidP="008B1BF8">
      <w:pPr>
        <w:numPr>
          <w:ilvl w:val="1"/>
          <w:numId w:val="45"/>
        </w:numPr>
        <w:spacing w:line="240" w:lineRule="auto"/>
        <w:ind w:hanging="295"/>
        <w:jc w:val="both"/>
        <w:rPr>
          <w:rFonts w:cs="Arial"/>
        </w:rPr>
      </w:pPr>
      <w:r w:rsidRPr="00A30DA8">
        <w:rPr>
          <w:rFonts w:cs="Arial"/>
        </w:rPr>
        <w:t xml:space="preserve">18 </w:t>
      </w:r>
      <w:r w:rsidR="00DF6C7D">
        <w:rPr>
          <w:rFonts w:cs="Arial"/>
        </w:rPr>
        <w:t>y</w:t>
      </w:r>
      <w:r w:rsidRPr="00A30DA8">
        <w:rPr>
          <w:rFonts w:cs="Arial"/>
        </w:rPr>
        <w:t xml:space="preserve">ears or over; </w:t>
      </w:r>
      <w:r w:rsidR="00DF6C7D">
        <w:rPr>
          <w:rFonts w:cs="Arial"/>
        </w:rPr>
        <w:t xml:space="preserve"> and</w:t>
      </w:r>
    </w:p>
    <w:p w14:paraId="6CB36B67" w14:textId="2405464B" w:rsidR="00D32757" w:rsidRPr="00A30DA8" w:rsidRDefault="003C78EC" w:rsidP="008B1BF8">
      <w:pPr>
        <w:numPr>
          <w:ilvl w:val="1"/>
          <w:numId w:val="45"/>
        </w:numPr>
        <w:spacing w:line="240" w:lineRule="auto"/>
        <w:ind w:hanging="295"/>
        <w:jc w:val="both"/>
      </w:pPr>
      <w:r w:rsidRPr="00A30DA8">
        <w:rPr>
          <w:rFonts w:cs="Arial"/>
        </w:rPr>
        <w:t>the sub</w:t>
      </w:r>
      <w:r w:rsidR="0081259E">
        <w:rPr>
          <w:rFonts w:cs="Arial"/>
        </w:rPr>
        <w:t xml:space="preserve">ject of regulated activity as defined by </w:t>
      </w:r>
      <w:r w:rsidR="00DF6C7D">
        <w:rPr>
          <w:rFonts w:cs="Arial"/>
        </w:rPr>
        <w:t xml:space="preserve">paragraph </w:t>
      </w:r>
      <w:r w:rsidR="0081259E">
        <w:rPr>
          <w:rFonts w:cs="Arial"/>
        </w:rPr>
        <w:t xml:space="preserve">7(1) of Schedule 4 </w:t>
      </w:r>
      <w:r w:rsidR="00DF6C7D">
        <w:rPr>
          <w:rFonts w:cs="Arial"/>
        </w:rPr>
        <w:t>to</w:t>
      </w:r>
      <w:r w:rsidR="0081259E">
        <w:rPr>
          <w:rFonts w:cs="Arial"/>
        </w:rPr>
        <w:t xml:space="preserve"> the SVGA 2006</w:t>
      </w:r>
      <w:r w:rsidR="00DF6C7D">
        <w:rPr>
          <w:rFonts w:cs="Arial"/>
        </w:rPr>
        <w:t>.</w:t>
      </w:r>
    </w:p>
    <w:sectPr w:rsidR="00D32757" w:rsidRPr="00A30DA8" w:rsidSect="008B1BF8">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567" w:right="991" w:bottom="567" w:left="567" w:header="567" w:footer="2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21DC4" w14:textId="77777777" w:rsidR="00C70B24" w:rsidRDefault="00C70B24" w:rsidP="006A0804">
      <w:pPr>
        <w:spacing w:after="0" w:line="240" w:lineRule="auto"/>
      </w:pPr>
      <w:r>
        <w:separator/>
      </w:r>
    </w:p>
  </w:endnote>
  <w:endnote w:type="continuationSeparator" w:id="0">
    <w:p w14:paraId="70800BB3" w14:textId="77777777" w:rsidR="00C70B24" w:rsidRDefault="00C70B24" w:rsidP="006A0804">
      <w:pPr>
        <w:spacing w:after="0" w:line="240" w:lineRule="auto"/>
      </w:pPr>
      <w:r>
        <w:continuationSeparator/>
      </w:r>
    </w:p>
  </w:endnote>
  <w:endnote w:type="continuationNotice" w:id="1">
    <w:p w14:paraId="72CC1BA9" w14:textId="77777777" w:rsidR="00C70B24" w:rsidRDefault="00C70B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NWAON+Georgia">
    <w:altName w:val="Georg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E5F7" w14:textId="77777777" w:rsidR="008F5762" w:rsidRDefault="008F5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E2A2" w14:textId="0C06034F" w:rsidR="008F5762" w:rsidRDefault="008F5762">
    <w:pPr>
      <w:pStyle w:val="Footer"/>
      <w:jc w:val="center"/>
    </w:pPr>
    <w:r>
      <w:fldChar w:fldCharType="begin"/>
    </w:r>
    <w:r>
      <w:instrText xml:space="preserve"> PAGE   \* MERGEFORMAT </w:instrText>
    </w:r>
    <w:r>
      <w:fldChar w:fldCharType="separate"/>
    </w:r>
    <w:r w:rsidR="00964B85">
      <w:rPr>
        <w:noProof/>
      </w:rPr>
      <w:t>5</w:t>
    </w:r>
    <w:r>
      <w:rPr>
        <w:noProof/>
      </w:rPr>
      <w:fldChar w:fldCharType="end"/>
    </w:r>
  </w:p>
  <w:p w14:paraId="20E4385F" w14:textId="77777777" w:rsidR="008F5762" w:rsidRDefault="008F57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1B81" w14:textId="77777777" w:rsidR="008F5762" w:rsidRDefault="008F5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95DD7" w14:textId="77777777" w:rsidR="00C70B24" w:rsidRDefault="00C70B24" w:rsidP="006A0804">
      <w:pPr>
        <w:spacing w:after="0" w:line="240" w:lineRule="auto"/>
      </w:pPr>
      <w:r>
        <w:separator/>
      </w:r>
    </w:p>
  </w:footnote>
  <w:footnote w:type="continuationSeparator" w:id="0">
    <w:p w14:paraId="4DEBB761" w14:textId="77777777" w:rsidR="00C70B24" w:rsidRDefault="00C70B24" w:rsidP="006A0804">
      <w:pPr>
        <w:spacing w:after="0" w:line="240" w:lineRule="auto"/>
      </w:pPr>
      <w:r>
        <w:continuationSeparator/>
      </w:r>
    </w:p>
  </w:footnote>
  <w:footnote w:type="continuationNotice" w:id="1">
    <w:p w14:paraId="436C4538" w14:textId="77777777" w:rsidR="00C70B24" w:rsidRDefault="00C70B24">
      <w:pPr>
        <w:spacing w:after="0" w:line="240" w:lineRule="auto"/>
      </w:pPr>
    </w:p>
  </w:footnote>
  <w:footnote w:id="2">
    <w:p w14:paraId="233B5CFC" w14:textId="77777777" w:rsidR="008F5762" w:rsidRDefault="008F5762">
      <w:pPr>
        <w:pStyle w:val="FootnoteText"/>
      </w:pPr>
      <w:r>
        <w:rPr>
          <w:rStyle w:val="FootnoteReference"/>
        </w:rPr>
        <w:t>1</w:t>
      </w:r>
      <w:r>
        <w:t>If criteria B applies t</w:t>
      </w:r>
      <w:r w:rsidRPr="00130920">
        <w:t>he Rehabilitation of Offenders Act 1974 (Exemptions) Order 1975 (as amended in 2013) provides that certain spent convictions and cautions are ‘protected’ and are not subject to disclosure to employers, and cannot be taken into account. Guidance and criteria on the filtering of these cautions and convictions can be found on the Government Disclo</w:t>
      </w:r>
      <w:r>
        <w:t>sure and Barring Service web</w:t>
      </w:r>
      <w:r w:rsidRPr="0013092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B709" w14:textId="77777777" w:rsidR="008F5762" w:rsidRDefault="008F57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0D4C" w14:textId="20F4425A" w:rsidR="008F5762" w:rsidRPr="004C6CC2" w:rsidRDefault="008F5762" w:rsidP="004C6CC2">
    <w:pPr>
      <w:tabs>
        <w:tab w:val="center" w:pos="4513"/>
        <w:tab w:val="right" w:pos="9026"/>
      </w:tabs>
      <w:rPr>
        <w:color w:val="auto"/>
      </w:rPr>
    </w:pPr>
    <w:r>
      <w:rPr>
        <w:noProof/>
        <w:color w:val="auto"/>
      </w:rPr>
      <w:drawing>
        <wp:inline distT="0" distB="0" distL="0" distR="0" wp14:anchorId="232EB7E6" wp14:editId="5251B28B">
          <wp:extent cx="832485" cy="703580"/>
          <wp:effectExtent l="0" t="0" r="5715" b="1270"/>
          <wp:docPr id="1" name="Picture 1" descr="S4C_Teal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4C_Teal Templa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485" cy="7035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37C3D" w14:textId="77777777" w:rsidR="008F5762" w:rsidRDefault="008F5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2F05"/>
    <w:multiLevelType w:val="hybridMultilevel"/>
    <w:tmpl w:val="26B8BB38"/>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046F41F8"/>
    <w:multiLevelType w:val="multilevel"/>
    <w:tmpl w:val="12CEB75E"/>
    <w:lvl w:ilvl="0">
      <w:start w:val="6"/>
      <w:numFmt w:val="decimal"/>
      <w:lvlText w:val="%1"/>
      <w:lvlJc w:val="left"/>
      <w:pPr>
        <w:ind w:left="360" w:hanging="360"/>
      </w:pPr>
      <w:rPr>
        <w:rFonts w:hint="default"/>
        <w:b w:val="0"/>
      </w:rPr>
    </w:lvl>
    <w:lvl w:ilvl="1">
      <w:start w:val="1"/>
      <w:numFmt w:val="bullet"/>
      <w:lvlText w:val=""/>
      <w:lvlJc w:val="left"/>
      <w:pPr>
        <w:ind w:left="1429" w:hanging="720"/>
      </w:pPr>
      <w:rPr>
        <w:rFonts w:ascii="Symbol" w:hAnsi="Symbol"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4276" w:hanging="144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7123" w:hanging="2160"/>
      </w:pPr>
      <w:rPr>
        <w:rFonts w:hint="default"/>
        <w:b w:val="0"/>
      </w:rPr>
    </w:lvl>
    <w:lvl w:ilvl="8">
      <w:start w:val="1"/>
      <w:numFmt w:val="decimal"/>
      <w:lvlText w:val="%1.%2.%3.%4.%5.%6.%7.%8.%9"/>
      <w:lvlJc w:val="left"/>
      <w:pPr>
        <w:ind w:left="7832" w:hanging="2160"/>
      </w:pPr>
      <w:rPr>
        <w:rFonts w:hint="default"/>
        <w:b w:val="0"/>
      </w:rPr>
    </w:lvl>
  </w:abstractNum>
  <w:abstractNum w:abstractNumId="2" w15:restartNumberingAfterBreak="0">
    <w:nsid w:val="06604D67"/>
    <w:multiLevelType w:val="hybridMultilevel"/>
    <w:tmpl w:val="4782D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07446"/>
    <w:multiLevelType w:val="hybridMultilevel"/>
    <w:tmpl w:val="05CE2DD4"/>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 w15:restartNumberingAfterBreak="0">
    <w:nsid w:val="0D150C54"/>
    <w:multiLevelType w:val="multilevel"/>
    <w:tmpl w:val="BF2EF87C"/>
    <w:lvl w:ilvl="0">
      <w:start w:val="1"/>
      <w:numFmt w:val="decimal"/>
      <w:lvlText w:val="%1"/>
      <w:lvlJc w:val="left"/>
      <w:pPr>
        <w:ind w:left="375" w:hanging="375"/>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5" w15:restartNumberingAfterBreak="0">
    <w:nsid w:val="0FAF6862"/>
    <w:multiLevelType w:val="multilevel"/>
    <w:tmpl w:val="F0127AF4"/>
    <w:lvl w:ilvl="0">
      <w:start w:val="1"/>
      <w:numFmt w:val="decimal"/>
      <w:lvlText w:val="%1"/>
      <w:lvlJc w:val="left"/>
      <w:pPr>
        <w:ind w:left="375" w:hanging="37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15:restartNumberingAfterBreak="0">
    <w:nsid w:val="107932C2"/>
    <w:multiLevelType w:val="multilevel"/>
    <w:tmpl w:val="EF287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DD6B34"/>
    <w:multiLevelType w:val="hybridMultilevel"/>
    <w:tmpl w:val="90B60520"/>
    <w:lvl w:ilvl="0" w:tplc="08090001">
      <w:start w:val="1"/>
      <w:numFmt w:val="bullet"/>
      <w:lvlText w:val=""/>
      <w:lvlJc w:val="left"/>
      <w:pPr>
        <w:ind w:left="2858" w:hanging="360"/>
      </w:pPr>
      <w:rPr>
        <w:rFonts w:ascii="Symbol" w:hAnsi="Symbol"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abstractNum w:abstractNumId="8" w15:restartNumberingAfterBreak="0">
    <w:nsid w:val="17C04443"/>
    <w:multiLevelType w:val="multilevel"/>
    <w:tmpl w:val="08FAA1CE"/>
    <w:lvl w:ilvl="0">
      <w:start w:val="1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9" w15:restartNumberingAfterBreak="0">
    <w:nsid w:val="17D75221"/>
    <w:multiLevelType w:val="multilevel"/>
    <w:tmpl w:val="EA984718"/>
    <w:lvl w:ilvl="0">
      <w:start w:val="11"/>
      <w:numFmt w:val="decimal"/>
      <w:lvlText w:val="%1"/>
      <w:lvlJc w:val="left"/>
      <w:pPr>
        <w:ind w:left="525" w:hanging="52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0" w15:restartNumberingAfterBreak="0">
    <w:nsid w:val="207B3C11"/>
    <w:multiLevelType w:val="multilevel"/>
    <w:tmpl w:val="28409B4A"/>
    <w:lvl w:ilvl="0">
      <w:start w:val="6"/>
      <w:numFmt w:val="decimal"/>
      <w:lvlText w:val="%1"/>
      <w:lvlJc w:val="left"/>
      <w:pPr>
        <w:ind w:left="360" w:hanging="360"/>
      </w:pPr>
      <w:rPr>
        <w:rFonts w:hint="default"/>
        <w:b w:val="0"/>
      </w:rPr>
    </w:lvl>
    <w:lvl w:ilvl="1">
      <w:start w:val="2"/>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4276" w:hanging="144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7123" w:hanging="2160"/>
      </w:pPr>
      <w:rPr>
        <w:rFonts w:hint="default"/>
        <w:b w:val="0"/>
      </w:rPr>
    </w:lvl>
    <w:lvl w:ilvl="8">
      <w:start w:val="1"/>
      <w:numFmt w:val="decimal"/>
      <w:lvlText w:val="%1.%2.%3.%4.%5.%6.%7.%8.%9"/>
      <w:lvlJc w:val="left"/>
      <w:pPr>
        <w:ind w:left="7832" w:hanging="2160"/>
      </w:pPr>
      <w:rPr>
        <w:rFonts w:hint="default"/>
        <w:b w:val="0"/>
      </w:rPr>
    </w:lvl>
  </w:abstractNum>
  <w:abstractNum w:abstractNumId="11" w15:restartNumberingAfterBreak="0">
    <w:nsid w:val="22EB4CFB"/>
    <w:multiLevelType w:val="multilevel"/>
    <w:tmpl w:val="213092A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57C30EB"/>
    <w:multiLevelType w:val="hybridMultilevel"/>
    <w:tmpl w:val="56ECEC7C"/>
    <w:lvl w:ilvl="0" w:tplc="08090011">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15:restartNumberingAfterBreak="0">
    <w:nsid w:val="25AA18EC"/>
    <w:multiLevelType w:val="hybridMultilevel"/>
    <w:tmpl w:val="A112D9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BC01442"/>
    <w:multiLevelType w:val="hybridMultilevel"/>
    <w:tmpl w:val="4104A722"/>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5" w15:restartNumberingAfterBreak="0">
    <w:nsid w:val="2C69750A"/>
    <w:multiLevelType w:val="hybridMultilevel"/>
    <w:tmpl w:val="FBDCDA7C"/>
    <w:lvl w:ilvl="0" w:tplc="08090001">
      <w:start w:val="1"/>
      <w:numFmt w:val="bullet"/>
      <w:lvlText w:val=""/>
      <w:lvlJc w:val="left"/>
      <w:pPr>
        <w:ind w:left="1429" w:hanging="360"/>
      </w:pPr>
      <w:rPr>
        <w:rFonts w:ascii="Symbol" w:hAnsi="Symbol" w:hint="default"/>
      </w:rPr>
    </w:lvl>
    <w:lvl w:ilvl="1" w:tplc="8482D03C">
      <w:numFmt w:val="bullet"/>
      <w:lvlText w:val="-"/>
      <w:lvlJc w:val="left"/>
      <w:pPr>
        <w:ind w:left="2149" w:hanging="360"/>
      </w:pPr>
      <w:rPr>
        <w:rFonts w:ascii="Verdana" w:eastAsia="Calibri" w:hAnsi="Verdana"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2D6E1327"/>
    <w:multiLevelType w:val="hybridMultilevel"/>
    <w:tmpl w:val="C864392E"/>
    <w:lvl w:ilvl="0" w:tplc="08090001">
      <w:start w:val="1"/>
      <w:numFmt w:val="bullet"/>
      <w:lvlText w:val=""/>
      <w:lvlJc w:val="left"/>
      <w:pPr>
        <w:ind w:left="1429" w:hanging="360"/>
      </w:pPr>
      <w:rPr>
        <w:rFonts w:ascii="Symbol" w:hAnsi="Symbol" w:hint="default"/>
      </w:rPr>
    </w:lvl>
    <w:lvl w:ilvl="1" w:tplc="08090001">
      <w:start w:val="1"/>
      <w:numFmt w:val="bullet"/>
      <w:lvlText w:val=""/>
      <w:lvlJc w:val="left"/>
      <w:pPr>
        <w:ind w:left="2149" w:hanging="360"/>
      </w:pPr>
      <w:rPr>
        <w:rFonts w:ascii="Symbol" w:hAnsi="Symbo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0CE070D"/>
    <w:multiLevelType w:val="hybridMultilevel"/>
    <w:tmpl w:val="41DAD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277B0"/>
    <w:multiLevelType w:val="hybridMultilevel"/>
    <w:tmpl w:val="6554B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FF6554"/>
    <w:multiLevelType w:val="multilevel"/>
    <w:tmpl w:val="98F69FA8"/>
    <w:lvl w:ilvl="0">
      <w:start w:val="1"/>
      <w:numFmt w:val="decimal"/>
      <w:lvlText w:val="%1."/>
      <w:lvlJc w:val="left"/>
      <w:pPr>
        <w:ind w:left="3189" w:hanging="735"/>
      </w:pPr>
      <w:rPr>
        <w:rFonts w:hint="default"/>
        <w:b/>
      </w:rPr>
    </w:lvl>
    <w:lvl w:ilvl="1">
      <w:start w:val="1"/>
      <w:numFmt w:val="decimal"/>
      <w:isLgl/>
      <w:lvlText w:val="%1.%2"/>
      <w:lvlJc w:val="left"/>
      <w:pPr>
        <w:ind w:left="1571" w:hanging="720"/>
      </w:pPr>
      <w:rPr>
        <w:rFonts w:ascii="Verdana" w:hAnsi="Verdana" w:hint="default"/>
      </w:rPr>
    </w:lvl>
    <w:lvl w:ilvl="2">
      <w:start w:val="1"/>
      <w:numFmt w:val="decimal"/>
      <w:isLgl/>
      <w:lvlText w:val="%1.%2.%3"/>
      <w:lvlJc w:val="left"/>
      <w:pPr>
        <w:ind w:left="3174" w:hanging="720"/>
      </w:pPr>
      <w:rPr>
        <w:rFonts w:hint="default"/>
      </w:rPr>
    </w:lvl>
    <w:lvl w:ilvl="3">
      <w:start w:val="1"/>
      <w:numFmt w:val="decimal"/>
      <w:isLgl/>
      <w:lvlText w:val="%1.%2.%3.%4"/>
      <w:lvlJc w:val="left"/>
      <w:pPr>
        <w:ind w:left="3534" w:hanging="1080"/>
      </w:pPr>
      <w:rPr>
        <w:rFonts w:hint="default"/>
      </w:rPr>
    </w:lvl>
    <w:lvl w:ilvl="4">
      <w:start w:val="1"/>
      <w:numFmt w:val="decimal"/>
      <w:isLgl/>
      <w:lvlText w:val="%1.%2.%3.%4.%5"/>
      <w:lvlJc w:val="left"/>
      <w:pPr>
        <w:ind w:left="3894" w:hanging="1440"/>
      </w:pPr>
      <w:rPr>
        <w:rFonts w:hint="default"/>
      </w:rPr>
    </w:lvl>
    <w:lvl w:ilvl="5">
      <w:start w:val="1"/>
      <w:numFmt w:val="decimal"/>
      <w:isLgl/>
      <w:lvlText w:val="%1.%2.%3.%4.%5.%6"/>
      <w:lvlJc w:val="left"/>
      <w:pPr>
        <w:ind w:left="3894"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14" w:hanging="2160"/>
      </w:pPr>
      <w:rPr>
        <w:rFonts w:hint="default"/>
      </w:rPr>
    </w:lvl>
    <w:lvl w:ilvl="8">
      <w:start w:val="1"/>
      <w:numFmt w:val="decimal"/>
      <w:isLgl/>
      <w:lvlText w:val="%1.%2.%3.%4.%5.%6.%7.%8.%9"/>
      <w:lvlJc w:val="left"/>
      <w:pPr>
        <w:ind w:left="4614" w:hanging="2160"/>
      </w:pPr>
      <w:rPr>
        <w:rFonts w:hint="default"/>
      </w:rPr>
    </w:lvl>
  </w:abstractNum>
  <w:abstractNum w:abstractNumId="20" w15:restartNumberingAfterBreak="0">
    <w:nsid w:val="388B70C2"/>
    <w:multiLevelType w:val="hybridMultilevel"/>
    <w:tmpl w:val="0E7ACC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C013662"/>
    <w:multiLevelType w:val="hybridMultilevel"/>
    <w:tmpl w:val="F258DE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D203C6E"/>
    <w:multiLevelType w:val="hybridMultilevel"/>
    <w:tmpl w:val="0EA89F88"/>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23" w15:restartNumberingAfterBreak="0">
    <w:nsid w:val="3DE52EAF"/>
    <w:multiLevelType w:val="multilevel"/>
    <w:tmpl w:val="399EBFC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02C25D8"/>
    <w:multiLevelType w:val="hybridMultilevel"/>
    <w:tmpl w:val="EB6AD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A54616"/>
    <w:multiLevelType w:val="hybridMultilevel"/>
    <w:tmpl w:val="892AB9DE"/>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6" w15:restartNumberingAfterBreak="0">
    <w:nsid w:val="43695ADF"/>
    <w:multiLevelType w:val="multilevel"/>
    <w:tmpl w:val="E29C29E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47C048D"/>
    <w:multiLevelType w:val="multilevel"/>
    <w:tmpl w:val="7A62A7E6"/>
    <w:lvl w:ilvl="0">
      <w:start w:val="1"/>
      <w:numFmt w:val="decimal"/>
      <w:lvlText w:val="%1"/>
      <w:lvlJc w:val="left"/>
      <w:pPr>
        <w:ind w:left="360" w:hanging="36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46A57E2D"/>
    <w:multiLevelType w:val="hybridMultilevel"/>
    <w:tmpl w:val="AC663BC4"/>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9" w15:restartNumberingAfterBreak="0">
    <w:nsid w:val="4C5407DE"/>
    <w:multiLevelType w:val="hybridMultilevel"/>
    <w:tmpl w:val="FC841084"/>
    <w:lvl w:ilvl="0" w:tplc="08090001">
      <w:start w:val="1"/>
      <w:numFmt w:val="bullet"/>
      <w:lvlText w:val=""/>
      <w:lvlJc w:val="left"/>
      <w:pPr>
        <w:ind w:left="1354" w:hanging="360"/>
      </w:pPr>
      <w:rPr>
        <w:rFonts w:ascii="Symbol" w:hAnsi="Symbol" w:hint="default"/>
      </w:rPr>
    </w:lvl>
    <w:lvl w:ilvl="1" w:tplc="08090003" w:tentative="1">
      <w:start w:val="1"/>
      <w:numFmt w:val="bullet"/>
      <w:lvlText w:val="o"/>
      <w:lvlJc w:val="left"/>
      <w:pPr>
        <w:ind w:left="2074" w:hanging="360"/>
      </w:pPr>
      <w:rPr>
        <w:rFonts w:ascii="Courier New" w:hAnsi="Courier New" w:cs="Courier New" w:hint="default"/>
      </w:rPr>
    </w:lvl>
    <w:lvl w:ilvl="2" w:tplc="08090005" w:tentative="1">
      <w:start w:val="1"/>
      <w:numFmt w:val="bullet"/>
      <w:lvlText w:val=""/>
      <w:lvlJc w:val="left"/>
      <w:pPr>
        <w:ind w:left="2794" w:hanging="360"/>
      </w:pPr>
      <w:rPr>
        <w:rFonts w:ascii="Wingdings" w:hAnsi="Wingdings" w:hint="default"/>
      </w:rPr>
    </w:lvl>
    <w:lvl w:ilvl="3" w:tplc="08090001" w:tentative="1">
      <w:start w:val="1"/>
      <w:numFmt w:val="bullet"/>
      <w:lvlText w:val=""/>
      <w:lvlJc w:val="left"/>
      <w:pPr>
        <w:ind w:left="3514" w:hanging="360"/>
      </w:pPr>
      <w:rPr>
        <w:rFonts w:ascii="Symbol" w:hAnsi="Symbol" w:hint="default"/>
      </w:rPr>
    </w:lvl>
    <w:lvl w:ilvl="4" w:tplc="08090003" w:tentative="1">
      <w:start w:val="1"/>
      <w:numFmt w:val="bullet"/>
      <w:lvlText w:val="o"/>
      <w:lvlJc w:val="left"/>
      <w:pPr>
        <w:ind w:left="4234" w:hanging="360"/>
      </w:pPr>
      <w:rPr>
        <w:rFonts w:ascii="Courier New" w:hAnsi="Courier New" w:cs="Courier New" w:hint="default"/>
      </w:rPr>
    </w:lvl>
    <w:lvl w:ilvl="5" w:tplc="08090005" w:tentative="1">
      <w:start w:val="1"/>
      <w:numFmt w:val="bullet"/>
      <w:lvlText w:val=""/>
      <w:lvlJc w:val="left"/>
      <w:pPr>
        <w:ind w:left="4954" w:hanging="360"/>
      </w:pPr>
      <w:rPr>
        <w:rFonts w:ascii="Wingdings" w:hAnsi="Wingdings" w:hint="default"/>
      </w:rPr>
    </w:lvl>
    <w:lvl w:ilvl="6" w:tplc="08090001" w:tentative="1">
      <w:start w:val="1"/>
      <w:numFmt w:val="bullet"/>
      <w:lvlText w:val=""/>
      <w:lvlJc w:val="left"/>
      <w:pPr>
        <w:ind w:left="5674" w:hanging="360"/>
      </w:pPr>
      <w:rPr>
        <w:rFonts w:ascii="Symbol" w:hAnsi="Symbol" w:hint="default"/>
      </w:rPr>
    </w:lvl>
    <w:lvl w:ilvl="7" w:tplc="08090003" w:tentative="1">
      <w:start w:val="1"/>
      <w:numFmt w:val="bullet"/>
      <w:lvlText w:val="o"/>
      <w:lvlJc w:val="left"/>
      <w:pPr>
        <w:ind w:left="6394" w:hanging="360"/>
      </w:pPr>
      <w:rPr>
        <w:rFonts w:ascii="Courier New" w:hAnsi="Courier New" w:cs="Courier New" w:hint="default"/>
      </w:rPr>
    </w:lvl>
    <w:lvl w:ilvl="8" w:tplc="08090005" w:tentative="1">
      <w:start w:val="1"/>
      <w:numFmt w:val="bullet"/>
      <w:lvlText w:val=""/>
      <w:lvlJc w:val="left"/>
      <w:pPr>
        <w:ind w:left="7114" w:hanging="360"/>
      </w:pPr>
      <w:rPr>
        <w:rFonts w:ascii="Wingdings" w:hAnsi="Wingdings" w:hint="default"/>
      </w:rPr>
    </w:lvl>
  </w:abstractNum>
  <w:abstractNum w:abstractNumId="30" w15:restartNumberingAfterBreak="0">
    <w:nsid w:val="4E623E07"/>
    <w:multiLevelType w:val="hybridMultilevel"/>
    <w:tmpl w:val="ADC0531A"/>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31" w15:restartNumberingAfterBreak="0">
    <w:nsid w:val="5ABC1BBA"/>
    <w:multiLevelType w:val="multilevel"/>
    <w:tmpl w:val="661CACC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ACA31C1"/>
    <w:multiLevelType w:val="hybridMultilevel"/>
    <w:tmpl w:val="089A3ED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15:restartNumberingAfterBreak="0">
    <w:nsid w:val="5ADE51EE"/>
    <w:multiLevelType w:val="hybridMultilevel"/>
    <w:tmpl w:val="AE80D7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5DFB2031"/>
    <w:multiLevelType w:val="hybridMultilevel"/>
    <w:tmpl w:val="43462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1B7AA5"/>
    <w:multiLevelType w:val="hybridMultilevel"/>
    <w:tmpl w:val="AD668DE2"/>
    <w:lvl w:ilvl="0" w:tplc="08090001">
      <w:start w:val="1"/>
      <w:numFmt w:val="bullet"/>
      <w:lvlText w:val=""/>
      <w:lvlJc w:val="left"/>
      <w:pPr>
        <w:ind w:left="1429" w:hanging="360"/>
      </w:pPr>
      <w:rPr>
        <w:rFonts w:ascii="Symbol" w:hAnsi="Symbol" w:hint="default"/>
      </w:rPr>
    </w:lvl>
    <w:lvl w:ilvl="1" w:tplc="08090001">
      <w:start w:val="1"/>
      <w:numFmt w:val="bullet"/>
      <w:lvlText w:val=""/>
      <w:lvlJc w:val="left"/>
      <w:pPr>
        <w:ind w:left="2149" w:hanging="360"/>
      </w:pPr>
      <w:rPr>
        <w:rFonts w:ascii="Symbol" w:hAnsi="Symbo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62B17824"/>
    <w:multiLevelType w:val="hybridMultilevel"/>
    <w:tmpl w:val="1CD457C0"/>
    <w:lvl w:ilvl="0" w:tplc="FA12475C">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7" w15:restartNumberingAfterBreak="0">
    <w:nsid w:val="63766710"/>
    <w:multiLevelType w:val="hybridMultilevel"/>
    <w:tmpl w:val="158E3212"/>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8" w15:restartNumberingAfterBreak="0">
    <w:nsid w:val="676A0D8B"/>
    <w:multiLevelType w:val="hybridMultilevel"/>
    <w:tmpl w:val="6CF203B4"/>
    <w:lvl w:ilvl="0" w:tplc="08090001">
      <w:start w:val="1"/>
      <w:numFmt w:val="bullet"/>
      <w:lvlText w:val=""/>
      <w:lvlJc w:val="left"/>
      <w:pPr>
        <w:ind w:left="2148" w:hanging="360"/>
      </w:pPr>
      <w:rPr>
        <w:rFonts w:ascii="Symbol" w:hAnsi="Symbol" w:hint="default"/>
      </w:rPr>
    </w:lvl>
    <w:lvl w:ilvl="1" w:tplc="08090003" w:tentative="1">
      <w:start w:val="1"/>
      <w:numFmt w:val="bullet"/>
      <w:lvlText w:val="o"/>
      <w:lvlJc w:val="left"/>
      <w:pPr>
        <w:ind w:left="2868" w:hanging="360"/>
      </w:pPr>
      <w:rPr>
        <w:rFonts w:ascii="Courier New" w:hAnsi="Courier New" w:cs="Courier New" w:hint="default"/>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abstractNum w:abstractNumId="39" w15:restartNumberingAfterBreak="0">
    <w:nsid w:val="67741662"/>
    <w:multiLevelType w:val="multilevel"/>
    <w:tmpl w:val="D8409B70"/>
    <w:lvl w:ilvl="0">
      <w:start w:val="10"/>
      <w:numFmt w:val="decimal"/>
      <w:lvlText w:val="%1"/>
      <w:lvlJc w:val="left"/>
      <w:pPr>
        <w:ind w:left="435" w:hanging="43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6A657A34"/>
    <w:multiLevelType w:val="multilevel"/>
    <w:tmpl w:val="28409B4A"/>
    <w:lvl w:ilvl="0">
      <w:start w:val="6"/>
      <w:numFmt w:val="decimal"/>
      <w:lvlText w:val="%1"/>
      <w:lvlJc w:val="left"/>
      <w:pPr>
        <w:ind w:left="360" w:hanging="360"/>
      </w:pPr>
      <w:rPr>
        <w:rFonts w:hint="default"/>
        <w:b w:val="0"/>
      </w:rPr>
    </w:lvl>
    <w:lvl w:ilvl="1">
      <w:start w:val="2"/>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4276" w:hanging="144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7123" w:hanging="2160"/>
      </w:pPr>
      <w:rPr>
        <w:rFonts w:hint="default"/>
        <w:b w:val="0"/>
      </w:rPr>
    </w:lvl>
    <w:lvl w:ilvl="8">
      <w:start w:val="1"/>
      <w:numFmt w:val="decimal"/>
      <w:lvlText w:val="%1.%2.%3.%4.%5.%6.%7.%8.%9"/>
      <w:lvlJc w:val="left"/>
      <w:pPr>
        <w:ind w:left="7832" w:hanging="2160"/>
      </w:pPr>
      <w:rPr>
        <w:rFonts w:hint="default"/>
        <w:b w:val="0"/>
      </w:rPr>
    </w:lvl>
  </w:abstractNum>
  <w:abstractNum w:abstractNumId="41" w15:restartNumberingAfterBreak="0">
    <w:nsid w:val="6C2E72D7"/>
    <w:multiLevelType w:val="hybridMultilevel"/>
    <w:tmpl w:val="A1CEC6BC"/>
    <w:lvl w:ilvl="0" w:tplc="0409000F">
      <w:start w:val="1"/>
      <w:numFmt w:val="decimal"/>
      <w:lvlText w:val="%1."/>
      <w:lvlJc w:val="left"/>
      <w:pPr>
        <w:ind w:left="92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6C6D6962"/>
    <w:multiLevelType w:val="multilevel"/>
    <w:tmpl w:val="55A8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D2D30E7"/>
    <w:multiLevelType w:val="hybridMultilevel"/>
    <w:tmpl w:val="73448A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EE3512A"/>
    <w:multiLevelType w:val="multilevel"/>
    <w:tmpl w:val="977C0E02"/>
    <w:lvl w:ilvl="0">
      <w:start w:val="3"/>
      <w:numFmt w:val="decimal"/>
      <w:lvlText w:val="%1."/>
      <w:lvlJc w:val="left"/>
      <w:pPr>
        <w:ind w:left="3189" w:hanging="735"/>
      </w:pPr>
      <w:rPr>
        <w:rFonts w:hint="default"/>
        <w:b/>
      </w:rPr>
    </w:lvl>
    <w:lvl w:ilvl="1">
      <w:start w:val="1"/>
      <w:numFmt w:val="decimal"/>
      <w:isLgl/>
      <w:lvlText w:val="%1.%2"/>
      <w:lvlJc w:val="left"/>
      <w:pPr>
        <w:ind w:left="1571" w:hanging="720"/>
      </w:pPr>
      <w:rPr>
        <w:rFonts w:ascii="Verdana" w:hAnsi="Verdana" w:hint="default"/>
      </w:rPr>
    </w:lvl>
    <w:lvl w:ilvl="2">
      <w:start w:val="1"/>
      <w:numFmt w:val="decimal"/>
      <w:isLgl/>
      <w:lvlText w:val="%1.%2.%3"/>
      <w:lvlJc w:val="left"/>
      <w:pPr>
        <w:ind w:left="3174" w:hanging="720"/>
      </w:pPr>
      <w:rPr>
        <w:rFonts w:hint="default"/>
      </w:rPr>
    </w:lvl>
    <w:lvl w:ilvl="3">
      <w:start w:val="1"/>
      <w:numFmt w:val="decimal"/>
      <w:isLgl/>
      <w:lvlText w:val="%1.%2.%3.%4"/>
      <w:lvlJc w:val="left"/>
      <w:pPr>
        <w:ind w:left="3534" w:hanging="1080"/>
      </w:pPr>
      <w:rPr>
        <w:rFonts w:hint="default"/>
      </w:rPr>
    </w:lvl>
    <w:lvl w:ilvl="4">
      <w:start w:val="1"/>
      <w:numFmt w:val="decimal"/>
      <w:isLgl/>
      <w:lvlText w:val="%1.%2.%3.%4.%5"/>
      <w:lvlJc w:val="left"/>
      <w:pPr>
        <w:ind w:left="3894" w:hanging="1440"/>
      </w:pPr>
      <w:rPr>
        <w:rFonts w:hint="default"/>
      </w:rPr>
    </w:lvl>
    <w:lvl w:ilvl="5">
      <w:start w:val="1"/>
      <w:numFmt w:val="decimal"/>
      <w:isLgl/>
      <w:lvlText w:val="%1.%2.%3.%4.%5.%6"/>
      <w:lvlJc w:val="left"/>
      <w:pPr>
        <w:ind w:left="3894"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14" w:hanging="2160"/>
      </w:pPr>
      <w:rPr>
        <w:rFonts w:hint="default"/>
      </w:rPr>
    </w:lvl>
    <w:lvl w:ilvl="8">
      <w:start w:val="1"/>
      <w:numFmt w:val="decimal"/>
      <w:isLgl/>
      <w:lvlText w:val="%1.%2.%3.%4.%5.%6.%7.%8.%9"/>
      <w:lvlJc w:val="left"/>
      <w:pPr>
        <w:ind w:left="4614" w:hanging="2160"/>
      </w:pPr>
      <w:rPr>
        <w:rFonts w:hint="default"/>
      </w:rPr>
    </w:lvl>
  </w:abstractNum>
  <w:abstractNum w:abstractNumId="45" w15:restartNumberingAfterBreak="0">
    <w:nsid w:val="6F667486"/>
    <w:multiLevelType w:val="multilevel"/>
    <w:tmpl w:val="1BC0E1AC"/>
    <w:lvl w:ilvl="0">
      <w:start w:val="6"/>
      <w:numFmt w:val="decimal"/>
      <w:lvlText w:val="%1"/>
      <w:lvlJc w:val="left"/>
      <w:pPr>
        <w:ind w:left="510" w:hanging="510"/>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46" w15:restartNumberingAfterBreak="0">
    <w:nsid w:val="70EB3045"/>
    <w:multiLevelType w:val="singleLevel"/>
    <w:tmpl w:val="1D3CF4D6"/>
    <w:lvl w:ilvl="0">
      <w:start w:val="3"/>
      <w:numFmt w:val="decimal"/>
      <w:lvlText w:val="%1."/>
      <w:lvlJc w:val="left"/>
      <w:pPr>
        <w:tabs>
          <w:tab w:val="num" w:pos="720"/>
        </w:tabs>
        <w:ind w:left="720" w:hanging="720"/>
      </w:pPr>
      <w:rPr>
        <w:rFonts w:hint="default"/>
      </w:rPr>
    </w:lvl>
  </w:abstractNum>
  <w:abstractNum w:abstractNumId="47" w15:restartNumberingAfterBreak="0">
    <w:nsid w:val="72795AAC"/>
    <w:multiLevelType w:val="hybridMultilevel"/>
    <w:tmpl w:val="88FCB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B10E33"/>
    <w:multiLevelType w:val="hybridMultilevel"/>
    <w:tmpl w:val="FD9040F6"/>
    <w:lvl w:ilvl="0" w:tplc="0409000F">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9" w15:restartNumberingAfterBreak="0">
    <w:nsid w:val="79CA15A2"/>
    <w:multiLevelType w:val="hybridMultilevel"/>
    <w:tmpl w:val="1E9E17DE"/>
    <w:lvl w:ilvl="0" w:tplc="0452000F">
      <w:start w:val="1"/>
      <w:numFmt w:val="decimal"/>
      <w:lvlText w:val="%1."/>
      <w:lvlJc w:val="left"/>
      <w:pPr>
        <w:ind w:left="36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50" w15:restartNumberingAfterBreak="0">
    <w:nsid w:val="79EF1464"/>
    <w:multiLevelType w:val="multilevel"/>
    <w:tmpl w:val="0802A31E"/>
    <w:lvl w:ilvl="0">
      <w:start w:val="3"/>
      <w:numFmt w:val="decimal"/>
      <w:lvlText w:val="%1"/>
      <w:lvlJc w:val="left"/>
      <w:pPr>
        <w:ind w:left="510" w:hanging="510"/>
      </w:pPr>
      <w:rPr>
        <w:rFonts w:hint="default"/>
      </w:rPr>
    </w:lvl>
    <w:lvl w:ilvl="1">
      <w:start w:val="1"/>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51" w15:restartNumberingAfterBreak="0">
    <w:nsid w:val="7AC944E2"/>
    <w:multiLevelType w:val="multilevel"/>
    <w:tmpl w:val="C316A62C"/>
    <w:lvl w:ilvl="0">
      <w:start w:val="10"/>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num w:numId="1" w16cid:durableId="1459487830">
    <w:abstractNumId w:val="31"/>
  </w:num>
  <w:num w:numId="2" w16cid:durableId="284964595">
    <w:abstractNumId w:val="23"/>
  </w:num>
  <w:num w:numId="3" w16cid:durableId="716465730">
    <w:abstractNumId w:val="34"/>
  </w:num>
  <w:num w:numId="4" w16cid:durableId="647054238">
    <w:abstractNumId w:val="47"/>
  </w:num>
  <w:num w:numId="5" w16cid:durableId="699553053">
    <w:abstractNumId w:val="29"/>
  </w:num>
  <w:num w:numId="6" w16cid:durableId="182592266">
    <w:abstractNumId w:val="43"/>
  </w:num>
  <w:num w:numId="7" w16cid:durableId="506210785">
    <w:abstractNumId w:val="18"/>
  </w:num>
  <w:num w:numId="8" w16cid:durableId="2012098103">
    <w:abstractNumId w:val="3"/>
  </w:num>
  <w:num w:numId="9" w16cid:durableId="1208183396">
    <w:abstractNumId w:val="25"/>
  </w:num>
  <w:num w:numId="10" w16cid:durableId="1117522633">
    <w:abstractNumId w:val="24"/>
  </w:num>
  <w:num w:numId="11" w16cid:durableId="1503621744">
    <w:abstractNumId w:val="17"/>
  </w:num>
  <w:num w:numId="12" w16cid:durableId="1552620723">
    <w:abstractNumId w:val="13"/>
  </w:num>
  <w:num w:numId="13" w16cid:durableId="630405018">
    <w:abstractNumId w:val="19"/>
  </w:num>
  <w:num w:numId="14" w16cid:durableId="840661829">
    <w:abstractNumId w:val="33"/>
  </w:num>
  <w:num w:numId="15" w16cid:durableId="1136266006">
    <w:abstractNumId w:val="20"/>
  </w:num>
  <w:num w:numId="16" w16cid:durableId="424419908">
    <w:abstractNumId w:val="22"/>
  </w:num>
  <w:num w:numId="17" w16cid:durableId="1528062106">
    <w:abstractNumId w:val="26"/>
  </w:num>
  <w:num w:numId="18" w16cid:durableId="486553794">
    <w:abstractNumId w:val="50"/>
  </w:num>
  <w:num w:numId="19" w16cid:durableId="606809859">
    <w:abstractNumId w:val="38"/>
  </w:num>
  <w:num w:numId="20" w16cid:durableId="132139619">
    <w:abstractNumId w:val="10"/>
  </w:num>
  <w:num w:numId="21" w16cid:durableId="637488830">
    <w:abstractNumId w:val="15"/>
  </w:num>
  <w:num w:numId="22" w16cid:durableId="1263732450">
    <w:abstractNumId w:val="45"/>
  </w:num>
  <w:num w:numId="23" w16cid:durableId="1407921278">
    <w:abstractNumId w:val="11"/>
  </w:num>
  <w:num w:numId="24" w16cid:durableId="236061740">
    <w:abstractNumId w:val="27"/>
  </w:num>
  <w:num w:numId="25" w16cid:durableId="436171578">
    <w:abstractNumId w:val="51"/>
  </w:num>
  <w:num w:numId="26" w16cid:durableId="1691563658">
    <w:abstractNumId w:val="8"/>
  </w:num>
  <w:num w:numId="27" w16cid:durableId="1477644624">
    <w:abstractNumId w:val="9"/>
  </w:num>
  <w:num w:numId="28" w16cid:durableId="966277057">
    <w:abstractNumId w:val="4"/>
  </w:num>
  <w:num w:numId="29" w16cid:durableId="388769604">
    <w:abstractNumId w:val="36"/>
  </w:num>
  <w:num w:numId="30" w16cid:durableId="1887644661">
    <w:abstractNumId w:val="12"/>
  </w:num>
  <w:num w:numId="31" w16cid:durableId="1132558105">
    <w:abstractNumId w:val="48"/>
  </w:num>
  <w:num w:numId="32" w16cid:durableId="925501930">
    <w:abstractNumId w:val="41"/>
  </w:num>
  <w:num w:numId="33" w16cid:durableId="1577084748">
    <w:abstractNumId w:val="49"/>
  </w:num>
  <w:num w:numId="34" w16cid:durableId="2010213091">
    <w:abstractNumId w:val="14"/>
  </w:num>
  <w:num w:numId="35" w16cid:durableId="291790500">
    <w:abstractNumId w:val="46"/>
  </w:num>
  <w:num w:numId="36" w16cid:durableId="1897005432">
    <w:abstractNumId w:val="5"/>
  </w:num>
  <w:num w:numId="37" w16cid:durableId="786432636">
    <w:abstractNumId w:val="7"/>
  </w:num>
  <w:num w:numId="38" w16cid:durableId="7040195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26239689">
    <w:abstractNumId w:val="32"/>
  </w:num>
  <w:num w:numId="40" w16cid:durableId="1841235766">
    <w:abstractNumId w:val="35"/>
  </w:num>
  <w:num w:numId="41" w16cid:durableId="1806314604">
    <w:abstractNumId w:val="30"/>
  </w:num>
  <w:num w:numId="42" w16cid:durableId="1469667405">
    <w:abstractNumId w:val="16"/>
  </w:num>
  <w:num w:numId="43" w16cid:durableId="1832217215">
    <w:abstractNumId w:val="2"/>
  </w:num>
  <w:num w:numId="44" w16cid:durableId="1300765231">
    <w:abstractNumId w:val="40"/>
  </w:num>
  <w:num w:numId="45" w16cid:durableId="2013293685">
    <w:abstractNumId w:val="1"/>
  </w:num>
  <w:num w:numId="46" w16cid:durableId="1008363551">
    <w:abstractNumId w:val="39"/>
  </w:num>
  <w:num w:numId="47" w16cid:durableId="867181380">
    <w:abstractNumId w:val="42"/>
  </w:num>
  <w:num w:numId="48" w16cid:durableId="972518918">
    <w:abstractNumId w:val="0"/>
  </w:num>
  <w:num w:numId="49" w16cid:durableId="834147970">
    <w:abstractNumId w:val="37"/>
  </w:num>
  <w:num w:numId="50" w16cid:durableId="536696324">
    <w:abstractNumId w:val="28"/>
  </w:num>
  <w:num w:numId="51" w16cid:durableId="641155873">
    <w:abstractNumId w:val="6"/>
  </w:num>
  <w:num w:numId="52" w16cid:durableId="1865170266">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efaultTabStop w:val="720"/>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CC2"/>
    <w:rsid w:val="00000516"/>
    <w:rsid w:val="00003054"/>
    <w:rsid w:val="0000518E"/>
    <w:rsid w:val="00006D4F"/>
    <w:rsid w:val="000120E8"/>
    <w:rsid w:val="00012689"/>
    <w:rsid w:val="00013C35"/>
    <w:rsid w:val="00014A3C"/>
    <w:rsid w:val="00015645"/>
    <w:rsid w:val="00017624"/>
    <w:rsid w:val="00021A9E"/>
    <w:rsid w:val="00025A3C"/>
    <w:rsid w:val="00036FDC"/>
    <w:rsid w:val="000423B2"/>
    <w:rsid w:val="00050413"/>
    <w:rsid w:val="00050F8B"/>
    <w:rsid w:val="00065928"/>
    <w:rsid w:val="00087C33"/>
    <w:rsid w:val="000A3B11"/>
    <w:rsid w:val="000B2629"/>
    <w:rsid w:val="000C1435"/>
    <w:rsid w:val="000C64E9"/>
    <w:rsid w:val="000C6D66"/>
    <w:rsid w:val="000F3681"/>
    <w:rsid w:val="00103507"/>
    <w:rsid w:val="00117D53"/>
    <w:rsid w:val="00125646"/>
    <w:rsid w:val="001279C1"/>
    <w:rsid w:val="00130920"/>
    <w:rsid w:val="001354C5"/>
    <w:rsid w:val="00136FE7"/>
    <w:rsid w:val="00146CC5"/>
    <w:rsid w:val="00161D0F"/>
    <w:rsid w:val="00163DD3"/>
    <w:rsid w:val="00166E24"/>
    <w:rsid w:val="001822D8"/>
    <w:rsid w:val="001843CC"/>
    <w:rsid w:val="00184AA5"/>
    <w:rsid w:val="001856FB"/>
    <w:rsid w:val="001875AE"/>
    <w:rsid w:val="00192A22"/>
    <w:rsid w:val="001B4C45"/>
    <w:rsid w:val="001B5EAF"/>
    <w:rsid w:val="001C36DB"/>
    <w:rsid w:val="001C76C0"/>
    <w:rsid w:val="001D569B"/>
    <w:rsid w:val="001D64CC"/>
    <w:rsid w:val="001D6ADC"/>
    <w:rsid w:val="001E1E39"/>
    <w:rsid w:val="001E6606"/>
    <w:rsid w:val="001E78BD"/>
    <w:rsid w:val="001E7C55"/>
    <w:rsid w:val="00200EF7"/>
    <w:rsid w:val="0020194B"/>
    <w:rsid w:val="002061A9"/>
    <w:rsid w:val="00216538"/>
    <w:rsid w:val="00222EDE"/>
    <w:rsid w:val="002236B3"/>
    <w:rsid w:val="00226B30"/>
    <w:rsid w:val="002271B2"/>
    <w:rsid w:val="002330D1"/>
    <w:rsid w:val="00240408"/>
    <w:rsid w:val="00250BD1"/>
    <w:rsid w:val="002518A7"/>
    <w:rsid w:val="002579E4"/>
    <w:rsid w:val="00263868"/>
    <w:rsid w:val="002638E4"/>
    <w:rsid w:val="002710F8"/>
    <w:rsid w:val="002733E8"/>
    <w:rsid w:val="002854F1"/>
    <w:rsid w:val="00286FD3"/>
    <w:rsid w:val="00292BEB"/>
    <w:rsid w:val="002A552C"/>
    <w:rsid w:val="002C78ED"/>
    <w:rsid w:val="002C7C07"/>
    <w:rsid w:val="002D7450"/>
    <w:rsid w:val="002E1C90"/>
    <w:rsid w:val="002E3B67"/>
    <w:rsid w:val="002F285E"/>
    <w:rsid w:val="002F350A"/>
    <w:rsid w:val="002F6D07"/>
    <w:rsid w:val="00307273"/>
    <w:rsid w:val="0031186F"/>
    <w:rsid w:val="003156D0"/>
    <w:rsid w:val="00316E76"/>
    <w:rsid w:val="00320B1D"/>
    <w:rsid w:val="00325B20"/>
    <w:rsid w:val="003266F8"/>
    <w:rsid w:val="003270A2"/>
    <w:rsid w:val="003341FC"/>
    <w:rsid w:val="00344308"/>
    <w:rsid w:val="00377053"/>
    <w:rsid w:val="0038107F"/>
    <w:rsid w:val="00381F16"/>
    <w:rsid w:val="0039429A"/>
    <w:rsid w:val="00397C37"/>
    <w:rsid w:val="003A0ABF"/>
    <w:rsid w:val="003A7ABC"/>
    <w:rsid w:val="003B3717"/>
    <w:rsid w:val="003B5F27"/>
    <w:rsid w:val="003C4597"/>
    <w:rsid w:val="003C78EC"/>
    <w:rsid w:val="003D746A"/>
    <w:rsid w:val="003E219F"/>
    <w:rsid w:val="003E3B48"/>
    <w:rsid w:val="003E7B78"/>
    <w:rsid w:val="003F7708"/>
    <w:rsid w:val="004007A3"/>
    <w:rsid w:val="0040220E"/>
    <w:rsid w:val="00403BEB"/>
    <w:rsid w:val="00404CC0"/>
    <w:rsid w:val="00412165"/>
    <w:rsid w:val="0042109B"/>
    <w:rsid w:val="0042253C"/>
    <w:rsid w:val="00423CD5"/>
    <w:rsid w:val="00431BF1"/>
    <w:rsid w:val="00442AEE"/>
    <w:rsid w:val="0044343A"/>
    <w:rsid w:val="00463227"/>
    <w:rsid w:val="004720ED"/>
    <w:rsid w:val="004826A6"/>
    <w:rsid w:val="00493920"/>
    <w:rsid w:val="004A2281"/>
    <w:rsid w:val="004B4B73"/>
    <w:rsid w:val="004C055F"/>
    <w:rsid w:val="004C26CB"/>
    <w:rsid w:val="004C2F7C"/>
    <w:rsid w:val="004C54B1"/>
    <w:rsid w:val="004C6CC2"/>
    <w:rsid w:val="004E1196"/>
    <w:rsid w:val="004E4069"/>
    <w:rsid w:val="004F0A80"/>
    <w:rsid w:val="004F1525"/>
    <w:rsid w:val="004F7548"/>
    <w:rsid w:val="00500F3A"/>
    <w:rsid w:val="00501192"/>
    <w:rsid w:val="0050236E"/>
    <w:rsid w:val="00504470"/>
    <w:rsid w:val="00507904"/>
    <w:rsid w:val="005233A0"/>
    <w:rsid w:val="005266AE"/>
    <w:rsid w:val="00526F39"/>
    <w:rsid w:val="00540F00"/>
    <w:rsid w:val="005444B1"/>
    <w:rsid w:val="0054656F"/>
    <w:rsid w:val="00574AD4"/>
    <w:rsid w:val="00592509"/>
    <w:rsid w:val="005A0359"/>
    <w:rsid w:val="005A1C20"/>
    <w:rsid w:val="005A26C5"/>
    <w:rsid w:val="005A5491"/>
    <w:rsid w:val="005A6E7C"/>
    <w:rsid w:val="005B3CC7"/>
    <w:rsid w:val="005B6673"/>
    <w:rsid w:val="005B7C2F"/>
    <w:rsid w:val="005C044D"/>
    <w:rsid w:val="005C1B4E"/>
    <w:rsid w:val="005C4006"/>
    <w:rsid w:val="005D22E8"/>
    <w:rsid w:val="005E31B0"/>
    <w:rsid w:val="005E7F52"/>
    <w:rsid w:val="005F1887"/>
    <w:rsid w:val="006212D6"/>
    <w:rsid w:val="0062208A"/>
    <w:rsid w:val="00622653"/>
    <w:rsid w:val="0062509A"/>
    <w:rsid w:val="0062743F"/>
    <w:rsid w:val="00630924"/>
    <w:rsid w:val="00631251"/>
    <w:rsid w:val="0063219D"/>
    <w:rsid w:val="0064446C"/>
    <w:rsid w:val="00644D9A"/>
    <w:rsid w:val="00657B68"/>
    <w:rsid w:val="00660942"/>
    <w:rsid w:val="00661452"/>
    <w:rsid w:val="00663641"/>
    <w:rsid w:val="00663BB0"/>
    <w:rsid w:val="00664DD9"/>
    <w:rsid w:val="0066731C"/>
    <w:rsid w:val="00674A33"/>
    <w:rsid w:val="00674D78"/>
    <w:rsid w:val="00677F48"/>
    <w:rsid w:val="0068055A"/>
    <w:rsid w:val="00685966"/>
    <w:rsid w:val="00692932"/>
    <w:rsid w:val="00692D19"/>
    <w:rsid w:val="006A0804"/>
    <w:rsid w:val="006A48F7"/>
    <w:rsid w:val="006C0B2E"/>
    <w:rsid w:val="006C243C"/>
    <w:rsid w:val="006D3E64"/>
    <w:rsid w:val="006E5002"/>
    <w:rsid w:val="006E6886"/>
    <w:rsid w:val="006F174D"/>
    <w:rsid w:val="006F2C9B"/>
    <w:rsid w:val="006F3CA0"/>
    <w:rsid w:val="006F59DE"/>
    <w:rsid w:val="0070020F"/>
    <w:rsid w:val="00713060"/>
    <w:rsid w:val="00714535"/>
    <w:rsid w:val="00715157"/>
    <w:rsid w:val="007155B9"/>
    <w:rsid w:val="00724854"/>
    <w:rsid w:val="00732638"/>
    <w:rsid w:val="00734E48"/>
    <w:rsid w:val="00740F81"/>
    <w:rsid w:val="007478BD"/>
    <w:rsid w:val="007775A8"/>
    <w:rsid w:val="007932BF"/>
    <w:rsid w:val="007954D7"/>
    <w:rsid w:val="00796907"/>
    <w:rsid w:val="007A1C04"/>
    <w:rsid w:val="007A6C48"/>
    <w:rsid w:val="007A7F09"/>
    <w:rsid w:val="007B2049"/>
    <w:rsid w:val="007B7F1E"/>
    <w:rsid w:val="007C0D53"/>
    <w:rsid w:val="007C47BF"/>
    <w:rsid w:val="007C49D8"/>
    <w:rsid w:val="007C4AF7"/>
    <w:rsid w:val="007D1041"/>
    <w:rsid w:val="007D7163"/>
    <w:rsid w:val="007E1C9A"/>
    <w:rsid w:val="007E4951"/>
    <w:rsid w:val="00804847"/>
    <w:rsid w:val="0081259E"/>
    <w:rsid w:val="00816775"/>
    <w:rsid w:val="00823886"/>
    <w:rsid w:val="00844D8B"/>
    <w:rsid w:val="00846320"/>
    <w:rsid w:val="008534EE"/>
    <w:rsid w:val="0085764A"/>
    <w:rsid w:val="008749D3"/>
    <w:rsid w:val="00875224"/>
    <w:rsid w:val="008811EF"/>
    <w:rsid w:val="00881EFF"/>
    <w:rsid w:val="00882090"/>
    <w:rsid w:val="00883A11"/>
    <w:rsid w:val="0088777D"/>
    <w:rsid w:val="0089221F"/>
    <w:rsid w:val="008A4788"/>
    <w:rsid w:val="008A7666"/>
    <w:rsid w:val="008B1BF8"/>
    <w:rsid w:val="008B36C4"/>
    <w:rsid w:val="008B69B1"/>
    <w:rsid w:val="008C4E3F"/>
    <w:rsid w:val="008D6D90"/>
    <w:rsid w:val="008E00F7"/>
    <w:rsid w:val="008E263D"/>
    <w:rsid w:val="008E616A"/>
    <w:rsid w:val="008E61A1"/>
    <w:rsid w:val="008E6542"/>
    <w:rsid w:val="008F5602"/>
    <w:rsid w:val="008F5762"/>
    <w:rsid w:val="00907B93"/>
    <w:rsid w:val="009111F5"/>
    <w:rsid w:val="00912F44"/>
    <w:rsid w:val="00917F73"/>
    <w:rsid w:val="00921376"/>
    <w:rsid w:val="00924DB1"/>
    <w:rsid w:val="00942443"/>
    <w:rsid w:val="009430A3"/>
    <w:rsid w:val="00946F43"/>
    <w:rsid w:val="009513F5"/>
    <w:rsid w:val="0095302B"/>
    <w:rsid w:val="00955872"/>
    <w:rsid w:val="00957C32"/>
    <w:rsid w:val="00957FB9"/>
    <w:rsid w:val="0096407E"/>
    <w:rsid w:val="00964B85"/>
    <w:rsid w:val="00970138"/>
    <w:rsid w:val="00991E7B"/>
    <w:rsid w:val="009A4045"/>
    <w:rsid w:val="009B0834"/>
    <w:rsid w:val="009B157E"/>
    <w:rsid w:val="009D11CC"/>
    <w:rsid w:val="009D258A"/>
    <w:rsid w:val="009D4B71"/>
    <w:rsid w:val="009D5298"/>
    <w:rsid w:val="009D6CB3"/>
    <w:rsid w:val="009E62D0"/>
    <w:rsid w:val="009F26EE"/>
    <w:rsid w:val="009F6DF2"/>
    <w:rsid w:val="009F7D2C"/>
    <w:rsid w:val="00A06EA8"/>
    <w:rsid w:val="00A11248"/>
    <w:rsid w:val="00A26B29"/>
    <w:rsid w:val="00A30DA8"/>
    <w:rsid w:val="00A40E79"/>
    <w:rsid w:val="00A41A29"/>
    <w:rsid w:val="00A45BBF"/>
    <w:rsid w:val="00A45BF4"/>
    <w:rsid w:val="00A4646B"/>
    <w:rsid w:val="00A56C7C"/>
    <w:rsid w:val="00A57C1F"/>
    <w:rsid w:val="00A64538"/>
    <w:rsid w:val="00A649E9"/>
    <w:rsid w:val="00A769AB"/>
    <w:rsid w:val="00A81EC8"/>
    <w:rsid w:val="00A93337"/>
    <w:rsid w:val="00AA39C2"/>
    <w:rsid w:val="00AD0CE7"/>
    <w:rsid w:val="00AD3698"/>
    <w:rsid w:val="00AF65D3"/>
    <w:rsid w:val="00B02D5A"/>
    <w:rsid w:val="00B146E1"/>
    <w:rsid w:val="00B224C5"/>
    <w:rsid w:val="00B227EE"/>
    <w:rsid w:val="00B41FA7"/>
    <w:rsid w:val="00B466A0"/>
    <w:rsid w:val="00B4689F"/>
    <w:rsid w:val="00B5071F"/>
    <w:rsid w:val="00B712C7"/>
    <w:rsid w:val="00B76286"/>
    <w:rsid w:val="00B779D4"/>
    <w:rsid w:val="00B8352A"/>
    <w:rsid w:val="00B87185"/>
    <w:rsid w:val="00B91013"/>
    <w:rsid w:val="00BA0E50"/>
    <w:rsid w:val="00BA7633"/>
    <w:rsid w:val="00BB4131"/>
    <w:rsid w:val="00BB501E"/>
    <w:rsid w:val="00BB5B44"/>
    <w:rsid w:val="00BC0459"/>
    <w:rsid w:val="00BC26B9"/>
    <w:rsid w:val="00BC4EDD"/>
    <w:rsid w:val="00BC520E"/>
    <w:rsid w:val="00BD1352"/>
    <w:rsid w:val="00BD1454"/>
    <w:rsid w:val="00BF1729"/>
    <w:rsid w:val="00BF2EEE"/>
    <w:rsid w:val="00C07072"/>
    <w:rsid w:val="00C13290"/>
    <w:rsid w:val="00C15C1A"/>
    <w:rsid w:val="00C45ECB"/>
    <w:rsid w:val="00C46EE3"/>
    <w:rsid w:val="00C547FA"/>
    <w:rsid w:val="00C70B24"/>
    <w:rsid w:val="00C72895"/>
    <w:rsid w:val="00C7317B"/>
    <w:rsid w:val="00C87BFC"/>
    <w:rsid w:val="00C9128C"/>
    <w:rsid w:val="00C93629"/>
    <w:rsid w:val="00C95A5A"/>
    <w:rsid w:val="00C97C54"/>
    <w:rsid w:val="00CB3A8E"/>
    <w:rsid w:val="00CC0873"/>
    <w:rsid w:val="00CD1737"/>
    <w:rsid w:val="00CD6F13"/>
    <w:rsid w:val="00CF5DFE"/>
    <w:rsid w:val="00D13CDD"/>
    <w:rsid w:val="00D17AEA"/>
    <w:rsid w:val="00D211C7"/>
    <w:rsid w:val="00D241EA"/>
    <w:rsid w:val="00D26E6D"/>
    <w:rsid w:val="00D278D9"/>
    <w:rsid w:val="00D3062C"/>
    <w:rsid w:val="00D319FF"/>
    <w:rsid w:val="00D32757"/>
    <w:rsid w:val="00D340D1"/>
    <w:rsid w:val="00D4065C"/>
    <w:rsid w:val="00D42777"/>
    <w:rsid w:val="00D43C6A"/>
    <w:rsid w:val="00D44607"/>
    <w:rsid w:val="00D50495"/>
    <w:rsid w:val="00D510EB"/>
    <w:rsid w:val="00D53F8E"/>
    <w:rsid w:val="00D618F9"/>
    <w:rsid w:val="00D6293C"/>
    <w:rsid w:val="00D659AC"/>
    <w:rsid w:val="00D65FC2"/>
    <w:rsid w:val="00D76D0A"/>
    <w:rsid w:val="00D86268"/>
    <w:rsid w:val="00D925C5"/>
    <w:rsid w:val="00D95B86"/>
    <w:rsid w:val="00D97F08"/>
    <w:rsid w:val="00DA29C4"/>
    <w:rsid w:val="00DB199D"/>
    <w:rsid w:val="00DB5070"/>
    <w:rsid w:val="00DB7E6A"/>
    <w:rsid w:val="00DC69F3"/>
    <w:rsid w:val="00DC7B22"/>
    <w:rsid w:val="00DE293F"/>
    <w:rsid w:val="00DF52CE"/>
    <w:rsid w:val="00DF6C7D"/>
    <w:rsid w:val="00DF7DEA"/>
    <w:rsid w:val="00E020C0"/>
    <w:rsid w:val="00E07486"/>
    <w:rsid w:val="00E21A0E"/>
    <w:rsid w:val="00E24866"/>
    <w:rsid w:val="00E276AD"/>
    <w:rsid w:val="00E41ACF"/>
    <w:rsid w:val="00E4206A"/>
    <w:rsid w:val="00E4641B"/>
    <w:rsid w:val="00E4732B"/>
    <w:rsid w:val="00E559F7"/>
    <w:rsid w:val="00E72029"/>
    <w:rsid w:val="00E750BB"/>
    <w:rsid w:val="00E82405"/>
    <w:rsid w:val="00E8462D"/>
    <w:rsid w:val="00EA3143"/>
    <w:rsid w:val="00EB5CDA"/>
    <w:rsid w:val="00EC13BD"/>
    <w:rsid w:val="00EC1C08"/>
    <w:rsid w:val="00EC7A77"/>
    <w:rsid w:val="00ED735C"/>
    <w:rsid w:val="00EE073A"/>
    <w:rsid w:val="00EF1651"/>
    <w:rsid w:val="00F16C01"/>
    <w:rsid w:val="00F17676"/>
    <w:rsid w:val="00F30882"/>
    <w:rsid w:val="00F33448"/>
    <w:rsid w:val="00F358BB"/>
    <w:rsid w:val="00F41D34"/>
    <w:rsid w:val="00F548F7"/>
    <w:rsid w:val="00F63DEF"/>
    <w:rsid w:val="00F7267F"/>
    <w:rsid w:val="00F72F9C"/>
    <w:rsid w:val="00F7341F"/>
    <w:rsid w:val="00F81751"/>
    <w:rsid w:val="00F969D5"/>
    <w:rsid w:val="00F972F9"/>
    <w:rsid w:val="00FA05C5"/>
    <w:rsid w:val="00FC562C"/>
    <w:rsid w:val="00FD21C1"/>
    <w:rsid w:val="00FD4194"/>
    <w:rsid w:val="00FD59F8"/>
    <w:rsid w:val="00FD7CC5"/>
    <w:rsid w:val="00FE3B31"/>
    <w:rsid w:val="00FF3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691DB"/>
  <w15:docId w15:val="{56D665AA-C5AB-4889-BE8C-91D0AAD4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color w:val="000000"/>
    </w:rPr>
  </w:style>
  <w:style w:type="paragraph" w:styleId="Heading2">
    <w:name w:val="heading 2"/>
    <w:basedOn w:val="Normal"/>
    <w:next w:val="Normal"/>
    <w:link w:val="Heading2Char"/>
    <w:uiPriority w:val="9"/>
    <w:semiHidden/>
    <w:unhideWhenUsed/>
    <w:qFormat/>
    <w:rsid w:val="009D25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D258A"/>
    <w:pPr>
      <w:spacing w:before="100" w:beforeAutospacing="1" w:after="100" w:afterAutospacing="1" w:line="240" w:lineRule="auto"/>
      <w:outlineLvl w:val="2"/>
    </w:pPr>
    <w:rPr>
      <w:rFonts w:ascii="Times New Roman" w:eastAsia="Times New Roman" w:hAnsi="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804"/>
    <w:pPr>
      <w:tabs>
        <w:tab w:val="center" w:pos="4513"/>
        <w:tab w:val="right" w:pos="9026"/>
      </w:tabs>
    </w:pPr>
  </w:style>
  <w:style w:type="character" w:customStyle="1" w:styleId="HeaderChar">
    <w:name w:val="Header Char"/>
    <w:link w:val="Header"/>
    <w:uiPriority w:val="99"/>
    <w:rsid w:val="006A0804"/>
    <w:rPr>
      <w:sz w:val="22"/>
      <w:szCs w:val="22"/>
      <w:lang w:eastAsia="en-US"/>
    </w:rPr>
  </w:style>
  <w:style w:type="paragraph" w:styleId="Footer">
    <w:name w:val="footer"/>
    <w:basedOn w:val="Normal"/>
    <w:link w:val="FooterChar"/>
    <w:uiPriority w:val="99"/>
    <w:unhideWhenUsed/>
    <w:rsid w:val="006A0804"/>
    <w:pPr>
      <w:tabs>
        <w:tab w:val="center" w:pos="4513"/>
        <w:tab w:val="right" w:pos="9026"/>
      </w:tabs>
    </w:pPr>
  </w:style>
  <w:style w:type="character" w:customStyle="1" w:styleId="FooterChar">
    <w:name w:val="Footer Char"/>
    <w:link w:val="Footer"/>
    <w:uiPriority w:val="99"/>
    <w:rsid w:val="006A0804"/>
    <w:rPr>
      <w:sz w:val="22"/>
      <w:szCs w:val="22"/>
      <w:lang w:eastAsia="en-US"/>
    </w:rPr>
  </w:style>
  <w:style w:type="paragraph" w:styleId="BalloonText">
    <w:name w:val="Balloon Text"/>
    <w:basedOn w:val="Normal"/>
    <w:link w:val="BalloonTextChar"/>
    <w:uiPriority w:val="99"/>
    <w:semiHidden/>
    <w:unhideWhenUsed/>
    <w:rsid w:val="006A08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0804"/>
    <w:rPr>
      <w:rFonts w:ascii="Tahoma" w:hAnsi="Tahoma" w:cs="Tahoma"/>
      <w:sz w:val="16"/>
      <w:szCs w:val="16"/>
      <w:lang w:eastAsia="en-US"/>
    </w:rPr>
  </w:style>
  <w:style w:type="table" w:styleId="TableGrid">
    <w:name w:val="Table Grid"/>
    <w:basedOn w:val="TableNormal"/>
    <w:uiPriority w:val="59"/>
    <w:rsid w:val="009A4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A404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rsid w:val="00661452"/>
    <w:pPr>
      <w:spacing w:after="0" w:line="240" w:lineRule="auto"/>
      <w:ind w:left="720"/>
    </w:pPr>
    <w:rPr>
      <w:rFonts w:ascii="Georgia" w:eastAsia="Times New Roman" w:hAnsi="Georgia"/>
      <w:color w:val="auto"/>
      <w:szCs w:val="24"/>
    </w:rPr>
  </w:style>
  <w:style w:type="paragraph" w:styleId="NormalWeb">
    <w:name w:val="Normal (Web)"/>
    <w:basedOn w:val="Normal"/>
    <w:uiPriority w:val="99"/>
    <w:unhideWhenUsed/>
    <w:rsid w:val="00661452"/>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Default">
    <w:name w:val="Default"/>
    <w:uiPriority w:val="99"/>
    <w:rsid w:val="00661452"/>
    <w:pPr>
      <w:widowControl w:val="0"/>
      <w:autoSpaceDE w:val="0"/>
      <w:autoSpaceDN w:val="0"/>
      <w:adjustRightInd w:val="0"/>
    </w:pPr>
    <w:rPr>
      <w:rFonts w:ascii="VNWAON+Georgia" w:eastAsia="Times New Roman" w:hAnsi="VNWAON+Georgia" w:cs="VNWAON+Georgia"/>
      <w:color w:val="000000"/>
      <w:sz w:val="24"/>
      <w:szCs w:val="24"/>
    </w:rPr>
  </w:style>
  <w:style w:type="paragraph" w:customStyle="1" w:styleId="CM25">
    <w:name w:val="CM25"/>
    <w:basedOn w:val="Default"/>
    <w:next w:val="Default"/>
    <w:uiPriority w:val="99"/>
    <w:rsid w:val="00661452"/>
    <w:pPr>
      <w:spacing w:after="225"/>
    </w:pPr>
    <w:rPr>
      <w:rFonts w:cs="Times New Roman"/>
      <w:color w:val="auto"/>
    </w:rPr>
  </w:style>
  <w:style w:type="paragraph" w:customStyle="1" w:styleId="CM26">
    <w:name w:val="CM26"/>
    <w:basedOn w:val="Default"/>
    <w:next w:val="Default"/>
    <w:uiPriority w:val="99"/>
    <w:rsid w:val="00661452"/>
    <w:pPr>
      <w:spacing w:after="678"/>
    </w:pPr>
    <w:rPr>
      <w:rFonts w:cs="Times New Roman"/>
      <w:color w:val="auto"/>
    </w:rPr>
  </w:style>
  <w:style w:type="paragraph" w:customStyle="1" w:styleId="CM11">
    <w:name w:val="CM11"/>
    <w:basedOn w:val="Default"/>
    <w:next w:val="Default"/>
    <w:uiPriority w:val="99"/>
    <w:rsid w:val="00661452"/>
    <w:pPr>
      <w:spacing w:line="228" w:lineRule="atLeast"/>
    </w:pPr>
    <w:rPr>
      <w:rFonts w:cs="Times New Roman"/>
      <w:color w:val="auto"/>
    </w:rPr>
  </w:style>
  <w:style w:type="character" w:styleId="CommentReference">
    <w:name w:val="annotation reference"/>
    <w:uiPriority w:val="99"/>
    <w:semiHidden/>
    <w:unhideWhenUsed/>
    <w:rsid w:val="00661452"/>
    <w:rPr>
      <w:sz w:val="16"/>
      <w:szCs w:val="16"/>
    </w:rPr>
  </w:style>
  <w:style w:type="paragraph" w:styleId="CommentText">
    <w:name w:val="annotation text"/>
    <w:basedOn w:val="Normal"/>
    <w:link w:val="CommentTextChar"/>
    <w:uiPriority w:val="99"/>
    <w:semiHidden/>
    <w:unhideWhenUsed/>
    <w:rsid w:val="00661452"/>
    <w:pPr>
      <w:spacing w:after="0" w:line="240" w:lineRule="auto"/>
    </w:pPr>
    <w:rPr>
      <w:rFonts w:ascii="Georgia" w:eastAsia="Times New Roman" w:hAnsi="Georgia"/>
      <w:color w:val="auto"/>
    </w:rPr>
  </w:style>
  <w:style w:type="character" w:customStyle="1" w:styleId="CommentTextChar">
    <w:name w:val="Comment Text Char"/>
    <w:link w:val="CommentText"/>
    <w:uiPriority w:val="99"/>
    <w:semiHidden/>
    <w:rsid w:val="00661452"/>
    <w:rPr>
      <w:rFonts w:ascii="Georgia" w:eastAsia="Times New Roman" w:hAnsi="Georgia"/>
    </w:rPr>
  </w:style>
  <w:style w:type="paragraph" w:styleId="CommentSubject">
    <w:name w:val="annotation subject"/>
    <w:basedOn w:val="CommentText"/>
    <w:next w:val="CommentText"/>
    <w:link w:val="CommentSubjectChar"/>
    <w:uiPriority w:val="99"/>
    <w:semiHidden/>
    <w:unhideWhenUsed/>
    <w:rsid w:val="00661452"/>
    <w:rPr>
      <w:b/>
      <w:bCs/>
    </w:rPr>
  </w:style>
  <w:style w:type="character" w:customStyle="1" w:styleId="CommentSubjectChar">
    <w:name w:val="Comment Subject Char"/>
    <w:link w:val="CommentSubject"/>
    <w:uiPriority w:val="99"/>
    <w:semiHidden/>
    <w:rsid w:val="00661452"/>
    <w:rPr>
      <w:rFonts w:ascii="Georgia" w:eastAsia="Times New Roman" w:hAnsi="Georgia"/>
      <w:b/>
      <w:bCs/>
    </w:rPr>
  </w:style>
  <w:style w:type="paragraph" w:styleId="Revision">
    <w:name w:val="Revision"/>
    <w:hidden/>
    <w:uiPriority w:val="99"/>
    <w:semiHidden/>
    <w:rsid w:val="00661452"/>
    <w:rPr>
      <w:rFonts w:ascii="Georgia" w:eastAsia="Times New Roman" w:hAnsi="Georgia"/>
      <w:szCs w:val="24"/>
    </w:rPr>
  </w:style>
  <w:style w:type="character" w:styleId="Hyperlink">
    <w:name w:val="Hyperlink"/>
    <w:uiPriority w:val="99"/>
    <w:unhideWhenUsed/>
    <w:rsid w:val="00D53F8E"/>
    <w:rPr>
      <w:color w:val="0000FF"/>
      <w:u w:val="single"/>
    </w:rPr>
  </w:style>
  <w:style w:type="paragraph" w:styleId="FootnoteText">
    <w:name w:val="footnote text"/>
    <w:basedOn w:val="Normal"/>
    <w:link w:val="FootnoteTextChar"/>
    <w:uiPriority w:val="99"/>
    <w:semiHidden/>
    <w:unhideWhenUsed/>
    <w:rsid w:val="00292BEB"/>
  </w:style>
  <w:style w:type="character" w:customStyle="1" w:styleId="FootnoteTextChar">
    <w:name w:val="Footnote Text Char"/>
    <w:link w:val="FootnoteText"/>
    <w:uiPriority w:val="99"/>
    <w:semiHidden/>
    <w:rsid w:val="00292BEB"/>
    <w:rPr>
      <w:color w:val="000000"/>
    </w:rPr>
  </w:style>
  <w:style w:type="character" w:styleId="FootnoteReference">
    <w:name w:val="footnote reference"/>
    <w:uiPriority w:val="99"/>
    <w:semiHidden/>
    <w:unhideWhenUsed/>
    <w:rsid w:val="00292BEB"/>
    <w:rPr>
      <w:vertAlign w:val="superscript"/>
    </w:rPr>
  </w:style>
  <w:style w:type="paragraph" w:styleId="NoSpacing">
    <w:name w:val="No Spacing"/>
    <w:uiPriority w:val="1"/>
    <w:qFormat/>
    <w:rsid w:val="007775A8"/>
    <w:rPr>
      <w:color w:val="000000"/>
    </w:rPr>
  </w:style>
  <w:style w:type="character" w:styleId="FollowedHyperlink">
    <w:name w:val="FollowedHyperlink"/>
    <w:uiPriority w:val="99"/>
    <w:semiHidden/>
    <w:unhideWhenUsed/>
    <w:rsid w:val="00EC7A77"/>
    <w:rPr>
      <w:color w:val="800080"/>
      <w:u w:val="single"/>
    </w:rPr>
  </w:style>
  <w:style w:type="character" w:customStyle="1" w:styleId="Heading3Char">
    <w:name w:val="Heading 3 Char"/>
    <w:basedOn w:val="DefaultParagraphFont"/>
    <w:link w:val="Heading3"/>
    <w:uiPriority w:val="9"/>
    <w:rsid w:val="009D258A"/>
    <w:rPr>
      <w:rFonts w:ascii="Times New Roman" w:eastAsia="Times New Roman" w:hAnsi="Times New Roman"/>
      <w:b/>
      <w:bCs/>
      <w:sz w:val="27"/>
      <w:szCs w:val="27"/>
    </w:rPr>
  </w:style>
  <w:style w:type="character" w:customStyle="1" w:styleId="Heading2Char">
    <w:name w:val="Heading 2 Char"/>
    <w:basedOn w:val="DefaultParagraphFont"/>
    <w:link w:val="Heading2"/>
    <w:uiPriority w:val="9"/>
    <w:semiHidden/>
    <w:rsid w:val="009D258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66717">
      <w:bodyDiv w:val="1"/>
      <w:marLeft w:val="0"/>
      <w:marRight w:val="0"/>
      <w:marTop w:val="0"/>
      <w:marBottom w:val="0"/>
      <w:divBdr>
        <w:top w:val="none" w:sz="0" w:space="0" w:color="auto"/>
        <w:left w:val="none" w:sz="0" w:space="0" w:color="auto"/>
        <w:bottom w:val="none" w:sz="0" w:space="0" w:color="auto"/>
        <w:right w:val="none" w:sz="0" w:space="0" w:color="auto"/>
      </w:divBdr>
    </w:div>
    <w:div w:id="544220630">
      <w:bodyDiv w:val="1"/>
      <w:marLeft w:val="0"/>
      <w:marRight w:val="0"/>
      <w:marTop w:val="0"/>
      <w:marBottom w:val="0"/>
      <w:divBdr>
        <w:top w:val="none" w:sz="0" w:space="0" w:color="auto"/>
        <w:left w:val="none" w:sz="0" w:space="0" w:color="auto"/>
        <w:bottom w:val="none" w:sz="0" w:space="0" w:color="auto"/>
        <w:right w:val="none" w:sz="0" w:space="0" w:color="auto"/>
      </w:divBdr>
      <w:divsChild>
        <w:div w:id="1183591107">
          <w:marLeft w:val="0"/>
          <w:marRight w:val="0"/>
          <w:marTop w:val="0"/>
          <w:marBottom w:val="0"/>
          <w:divBdr>
            <w:top w:val="none" w:sz="0" w:space="0" w:color="auto"/>
            <w:left w:val="none" w:sz="0" w:space="0" w:color="auto"/>
            <w:bottom w:val="none" w:sz="0" w:space="0" w:color="auto"/>
            <w:right w:val="none" w:sz="0" w:space="0" w:color="auto"/>
          </w:divBdr>
          <w:divsChild>
            <w:div w:id="974525103">
              <w:marLeft w:val="0"/>
              <w:marRight w:val="0"/>
              <w:marTop w:val="0"/>
              <w:marBottom w:val="0"/>
              <w:divBdr>
                <w:top w:val="none" w:sz="0" w:space="0" w:color="auto"/>
                <w:left w:val="none" w:sz="0" w:space="0" w:color="auto"/>
                <w:bottom w:val="none" w:sz="0" w:space="0" w:color="auto"/>
                <w:right w:val="none" w:sz="0" w:space="0" w:color="auto"/>
              </w:divBdr>
              <w:divsChild>
                <w:div w:id="1210218776">
                  <w:marLeft w:val="0"/>
                  <w:marRight w:val="0"/>
                  <w:marTop w:val="0"/>
                  <w:marBottom w:val="0"/>
                  <w:divBdr>
                    <w:top w:val="none" w:sz="0" w:space="0" w:color="auto"/>
                    <w:left w:val="none" w:sz="0" w:space="0" w:color="auto"/>
                    <w:bottom w:val="none" w:sz="0" w:space="0" w:color="auto"/>
                    <w:right w:val="none" w:sz="0" w:space="0" w:color="auto"/>
                  </w:divBdr>
                  <w:divsChild>
                    <w:div w:id="1806121473">
                      <w:marLeft w:val="0"/>
                      <w:marRight w:val="0"/>
                      <w:marTop w:val="0"/>
                      <w:marBottom w:val="240"/>
                      <w:divBdr>
                        <w:top w:val="none" w:sz="0" w:space="0" w:color="auto"/>
                        <w:left w:val="none" w:sz="0" w:space="0" w:color="auto"/>
                        <w:bottom w:val="none" w:sz="0" w:space="0" w:color="auto"/>
                        <w:right w:val="none" w:sz="0" w:space="0" w:color="auto"/>
                      </w:divBdr>
                      <w:divsChild>
                        <w:div w:id="1608343495">
                          <w:marLeft w:val="0"/>
                          <w:marRight w:val="0"/>
                          <w:marTop w:val="0"/>
                          <w:marBottom w:val="0"/>
                          <w:divBdr>
                            <w:top w:val="none" w:sz="0" w:space="0" w:color="auto"/>
                            <w:left w:val="none" w:sz="0" w:space="0" w:color="auto"/>
                            <w:bottom w:val="none" w:sz="0" w:space="0" w:color="auto"/>
                            <w:right w:val="none" w:sz="0" w:space="0" w:color="auto"/>
                          </w:divBdr>
                          <w:divsChild>
                            <w:div w:id="148465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816594">
      <w:bodyDiv w:val="1"/>
      <w:marLeft w:val="0"/>
      <w:marRight w:val="0"/>
      <w:marTop w:val="0"/>
      <w:marBottom w:val="0"/>
      <w:divBdr>
        <w:top w:val="none" w:sz="0" w:space="0" w:color="auto"/>
        <w:left w:val="none" w:sz="0" w:space="0" w:color="auto"/>
        <w:bottom w:val="none" w:sz="0" w:space="0" w:color="auto"/>
        <w:right w:val="none" w:sz="0" w:space="0" w:color="auto"/>
      </w:divBdr>
    </w:div>
    <w:div w:id="1196190556">
      <w:bodyDiv w:val="1"/>
      <w:marLeft w:val="0"/>
      <w:marRight w:val="0"/>
      <w:marTop w:val="0"/>
      <w:marBottom w:val="0"/>
      <w:divBdr>
        <w:top w:val="none" w:sz="0" w:space="0" w:color="auto"/>
        <w:left w:val="none" w:sz="0" w:space="0" w:color="auto"/>
        <w:bottom w:val="none" w:sz="0" w:space="0" w:color="auto"/>
        <w:right w:val="none" w:sz="0" w:space="0" w:color="auto"/>
      </w:divBdr>
      <w:divsChild>
        <w:div w:id="1317221608">
          <w:marLeft w:val="0"/>
          <w:marRight w:val="0"/>
          <w:marTop w:val="0"/>
          <w:marBottom w:val="0"/>
          <w:divBdr>
            <w:top w:val="none" w:sz="0" w:space="0" w:color="auto"/>
            <w:left w:val="none" w:sz="0" w:space="0" w:color="auto"/>
            <w:bottom w:val="none" w:sz="0" w:space="0" w:color="auto"/>
            <w:right w:val="none" w:sz="0" w:space="0" w:color="auto"/>
          </w:divBdr>
          <w:divsChild>
            <w:div w:id="948658408">
              <w:marLeft w:val="0"/>
              <w:marRight w:val="0"/>
              <w:marTop w:val="0"/>
              <w:marBottom w:val="0"/>
              <w:divBdr>
                <w:top w:val="none" w:sz="0" w:space="0" w:color="auto"/>
                <w:left w:val="none" w:sz="0" w:space="0" w:color="auto"/>
                <w:bottom w:val="none" w:sz="0" w:space="0" w:color="auto"/>
                <w:right w:val="none" w:sz="0" w:space="0" w:color="auto"/>
              </w:divBdr>
              <w:divsChild>
                <w:div w:id="1534609661">
                  <w:marLeft w:val="0"/>
                  <w:marRight w:val="0"/>
                  <w:marTop w:val="0"/>
                  <w:marBottom w:val="0"/>
                  <w:divBdr>
                    <w:top w:val="none" w:sz="0" w:space="0" w:color="auto"/>
                    <w:left w:val="none" w:sz="0" w:space="0" w:color="auto"/>
                    <w:bottom w:val="none" w:sz="0" w:space="0" w:color="auto"/>
                    <w:right w:val="none" w:sz="0" w:space="0" w:color="auto"/>
                  </w:divBdr>
                  <w:divsChild>
                    <w:div w:id="1279801000">
                      <w:marLeft w:val="0"/>
                      <w:marRight w:val="0"/>
                      <w:marTop w:val="0"/>
                      <w:marBottom w:val="240"/>
                      <w:divBdr>
                        <w:top w:val="none" w:sz="0" w:space="0" w:color="auto"/>
                        <w:left w:val="none" w:sz="0" w:space="0" w:color="auto"/>
                        <w:bottom w:val="none" w:sz="0" w:space="0" w:color="auto"/>
                        <w:right w:val="none" w:sz="0" w:space="0" w:color="auto"/>
                      </w:divBdr>
                      <w:divsChild>
                        <w:div w:id="1280642968">
                          <w:marLeft w:val="0"/>
                          <w:marRight w:val="0"/>
                          <w:marTop w:val="0"/>
                          <w:marBottom w:val="0"/>
                          <w:divBdr>
                            <w:top w:val="none" w:sz="0" w:space="0" w:color="auto"/>
                            <w:left w:val="none" w:sz="0" w:space="0" w:color="auto"/>
                            <w:bottom w:val="none" w:sz="0" w:space="0" w:color="auto"/>
                            <w:right w:val="none" w:sz="0" w:space="0" w:color="auto"/>
                          </w:divBdr>
                          <w:divsChild>
                            <w:div w:id="8318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616483">
      <w:bodyDiv w:val="1"/>
      <w:marLeft w:val="0"/>
      <w:marRight w:val="0"/>
      <w:marTop w:val="0"/>
      <w:marBottom w:val="0"/>
      <w:divBdr>
        <w:top w:val="none" w:sz="0" w:space="0" w:color="auto"/>
        <w:left w:val="none" w:sz="0" w:space="0" w:color="auto"/>
        <w:bottom w:val="none" w:sz="0" w:space="0" w:color="auto"/>
        <w:right w:val="none" w:sz="0" w:space="0" w:color="auto"/>
      </w:divBdr>
      <w:divsChild>
        <w:div w:id="1293904995">
          <w:marLeft w:val="0"/>
          <w:marRight w:val="0"/>
          <w:marTop w:val="0"/>
          <w:marBottom w:val="0"/>
          <w:divBdr>
            <w:top w:val="none" w:sz="0" w:space="0" w:color="auto"/>
            <w:left w:val="none" w:sz="0" w:space="0" w:color="auto"/>
            <w:bottom w:val="none" w:sz="0" w:space="0" w:color="auto"/>
            <w:right w:val="none" w:sz="0" w:space="0" w:color="auto"/>
          </w:divBdr>
          <w:divsChild>
            <w:div w:id="971441438">
              <w:marLeft w:val="0"/>
              <w:marRight w:val="0"/>
              <w:marTop w:val="0"/>
              <w:marBottom w:val="0"/>
              <w:divBdr>
                <w:top w:val="none" w:sz="0" w:space="0" w:color="auto"/>
                <w:left w:val="none" w:sz="0" w:space="0" w:color="auto"/>
                <w:bottom w:val="none" w:sz="0" w:space="0" w:color="auto"/>
                <w:right w:val="none" w:sz="0" w:space="0" w:color="auto"/>
              </w:divBdr>
              <w:divsChild>
                <w:div w:id="268319376">
                  <w:marLeft w:val="0"/>
                  <w:marRight w:val="0"/>
                  <w:marTop w:val="0"/>
                  <w:marBottom w:val="0"/>
                  <w:divBdr>
                    <w:top w:val="none" w:sz="0" w:space="0" w:color="auto"/>
                    <w:left w:val="none" w:sz="0" w:space="0" w:color="auto"/>
                    <w:bottom w:val="none" w:sz="0" w:space="0" w:color="auto"/>
                    <w:right w:val="none" w:sz="0" w:space="0" w:color="auto"/>
                  </w:divBdr>
                  <w:divsChild>
                    <w:div w:id="1528054996">
                      <w:marLeft w:val="0"/>
                      <w:marRight w:val="0"/>
                      <w:marTop w:val="0"/>
                      <w:marBottom w:val="240"/>
                      <w:divBdr>
                        <w:top w:val="none" w:sz="0" w:space="0" w:color="auto"/>
                        <w:left w:val="none" w:sz="0" w:space="0" w:color="auto"/>
                        <w:bottom w:val="none" w:sz="0" w:space="0" w:color="auto"/>
                        <w:right w:val="none" w:sz="0" w:space="0" w:color="auto"/>
                      </w:divBdr>
                      <w:divsChild>
                        <w:div w:id="1810319541">
                          <w:marLeft w:val="0"/>
                          <w:marRight w:val="0"/>
                          <w:marTop w:val="0"/>
                          <w:marBottom w:val="0"/>
                          <w:divBdr>
                            <w:top w:val="none" w:sz="0" w:space="0" w:color="auto"/>
                            <w:left w:val="none" w:sz="0" w:space="0" w:color="auto"/>
                            <w:bottom w:val="none" w:sz="0" w:space="0" w:color="auto"/>
                            <w:right w:val="none" w:sz="0" w:space="0" w:color="auto"/>
                          </w:divBdr>
                          <w:divsChild>
                            <w:div w:id="12864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697757">
      <w:bodyDiv w:val="1"/>
      <w:marLeft w:val="0"/>
      <w:marRight w:val="0"/>
      <w:marTop w:val="0"/>
      <w:marBottom w:val="0"/>
      <w:divBdr>
        <w:top w:val="none" w:sz="0" w:space="0" w:color="auto"/>
        <w:left w:val="none" w:sz="0" w:space="0" w:color="auto"/>
        <w:bottom w:val="none" w:sz="0" w:space="0" w:color="auto"/>
        <w:right w:val="none" w:sz="0" w:space="0" w:color="auto"/>
      </w:divBdr>
    </w:div>
    <w:div w:id="1882011912">
      <w:bodyDiv w:val="1"/>
      <w:marLeft w:val="0"/>
      <w:marRight w:val="0"/>
      <w:marTop w:val="0"/>
      <w:marBottom w:val="0"/>
      <w:divBdr>
        <w:top w:val="none" w:sz="0" w:space="0" w:color="auto"/>
        <w:left w:val="none" w:sz="0" w:space="0" w:color="auto"/>
        <w:bottom w:val="none" w:sz="0" w:space="0" w:color="auto"/>
        <w:right w:val="none" w:sz="0" w:space="0" w:color="auto"/>
      </w:divBdr>
      <w:divsChild>
        <w:div w:id="1867449984">
          <w:marLeft w:val="0"/>
          <w:marRight w:val="0"/>
          <w:marTop w:val="0"/>
          <w:marBottom w:val="0"/>
          <w:divBdr>
            <w:top w:val="none" w:sz="0" w:space="0" w:color="auto"/>
            <w:left w:val="none" w:sz="0" w:space="0" w:color="auto"/>
            <w:bottom w:val="none" w:sz="0" w:space="0" w:color="auto"/>
            <w:right w:val="none" w:sz="0" w:space="0" w:color="auto"/>
          </w:divBdr>
          <w:divsChild>
            <w:div w:id="281116410">
              <w:marLeft w:val="0"/>
              <w:marRight w:val="0"/>
              <w:marTop w:val="0"/>
              <w:marBottom w:val="0"/>
              <w:divBdr>
                <w:top w:val="none" w:sz="0" w:space="0" w:color="auto"/>
                <w:left w:val="none" w:sz="0" w:space="0" w:color="auto"/>
                <w:bottom w:val="none" w:sz="0" w:space="0" w:color="auto"/>
                <w:right w:val="none" w:sz="0" w:space="0" w:color="auto"/>
              </w:divBdr>
              <w:divsChild>
                <w:div w:id="615798570">
                  <w:marLeft w:val="0"/>
                  <w:marRight w:val="0"/>
                  <w:marTop w:val="0"/>
                  <w:marBottom w:val="0"/>
                  <w:divBdr>
                    <w:top w:val="none" w:sz="0" w:space="0" w:color="auto"/>
                    <w:left w:val="none" w:sz="0" w:space="0" w:color="auto"/>
                    <w:bottom w:val="none" w:sz="0" w:space="0" w:color="auto"/>
                    <w:right w:val="none" w:sz="0" w:space="0" w:color="auto"/>
                  </w:divBdr>
                  <w:divsChild>
                    <w:div w:id="717707715">
                      <w:marLeft w:val="0"/>
                      <w:marRight w:val="0"/>
                      <w:marTop w:val="0"/>
                      <w:marBottom w:val="240"/>
                      <w:divBdr>
                        <w:top w:val="none" w:sz="0" w:space="0" w:color="auto"/>
                        <w:left w:val="none" w:sz="0" w:space="0" w:color="auto"/>
                        <w:bottom w:val="none" w:sz="0" w:space="0" w:color="auto"/>
                        <w:right w:val="none" w:sz="0" w:space="0" w:color="auto"/>
                      </w:divBdr>
                      <w:divsChild>
                        <w:div w:id="1500543045">
                          <w:marLeft w:val="0"/>
                          <w:marRight w:val="0"/>
                          <w:marTop w:val="0"/>
                          <w:marBottom w:val="0"/>
                          <w:divBdr>
                            <w:top w:val="none" w:sz="0" w:space="0" w:color="auto"/>
                            <w:left w:val="none" w:sz="0" w:space="0" w:color="auto"/>
                            <w:bottom w:val="none" w:sz="0" w:space="0" w:color="auto"/>
                            <w:right w:val="none" w:sz="0" w:space="0" w:color="auto"/>
                          </w:divBdr>
                          <w:divsChild>
                            <w:div w:id="1212032468">
                              <w:marLeft w:val="0"/>
                              <w:marRight w:val="0"/>
                              <w:marTop w:val="0"/>
                              <w:marBottom w:val="0"/>
                              <w:divBdr>
                                <w:top w:val="none" w:sz="0" w:space="0" w:color="auto"/>
                                <w:left w:val="none" w:sz="0" w:space="0" w:color="auto"/>
                                <w:bottom w:val="none" w:sz="0" w:space="0" w:color="auto"/>
                                <w:right w:val="none" w:sz="0" w:space="0" w:color="auto"/>
                              </w:divBdr>
                            </w:div>
                          </w:divsChild>
                        </w:div>
                        <w:div w:id="376928105">
                          <w:marLeft w:val="0"/>
                          <w:marRight w:val="0"/>
                          <w:marTop w:val="0"/>
                          <w:marBottom w:val="0"/>
                          <w:divBdr>
                            <w:top w:val="none" w:sz="0" w:space="0" w:color="auto"/>
                            <w:left w:val="none" w:sz="0" w:space="0" w:color="auto"/>
                            <w:bottom w:val="none" w:sz="0" w:space="0" w:color="auto"/>
                            <w:right w:val="none" w:sz="0" w:space="0" w:color="auto"/>
                          </w:divBdr>
                          <w:divsChild>
                            <w:div w:id="2962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4C\S4C%20Letterhead\Cov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B9B02-2A3C-44F9-AAFD-37591D401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Cover.dot</Template>
  <TotalTime>0</TotalTime>
  <Pages>8</Pages>
  <Words>2561</Words>
  <Characters>14603</Characters>
  <Application>Microsoft Office Word</Application>
  <DocSecurity>0</DocSecurity>
  <Lines>121</Lines>
  <Paragraphs>34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17130</CharactersWithSpaces>
  <SharedDoc>false</SharedDoc>
  <HLinks>
    <vt:vector size="66" baseType="variant">
      <vt:variant>
        <vt:i4>393241</vt:i4>
      </vt:variant>
      <vt:variant>
        <vt:i4>30</vt:i4>
      </vt:variant>
      <vt:variant>
        <vt:i4>0</vt:i4>
      </vt:variant>
      <vt:variant>
        <vt:i4>5</vt:i4>
      </vt:variant>
      <vt:variant>
        <vt:lpwstr>https://www.gov.uk/disclosure-barring-service-check/overview</vt:lpwstr>
      </vt:variant>
      <vt:variant>
        <vt:lpwstr/>
      </vt:variant>
      <vt:variant>
        <vt:i4>655454</vt:i4>
      </vt:variant>
      <vt:variant>
        <vt:i4>27</vt:i4>
      </vt:variant>
      <vt:variant>
        <vt:i4>0</vt:i4>
      </vt:variant>
      <vt:variant>
        <vt:i4>5</vt:i4>
      </vt:variant>
      <vt:variant>
        <vt:lpwstr>http://www.childreninwales.org.uk/policy-document/wales-child-protection-procedures-2008/</vt:lpwstr>
      </vt:variant>
      <vt:variant>
        <vt:lpwstr/>
      </vt:variant>
      <vt:variant>
        <vt:i4>7995497</vt:i4>
      </vt:variant>
      <vt:variant>
        <vt:i4>24</vt:i4>
      </vt:variant>
      <vt:variant>
        <vt:i4>0</vt:i4>
      </vt:variant>
      <vt:variant>
        <vt:i4>5</vt:i4>
      </vt:variant>
      <vt:variant>
        <vt:lpwstr>http://www.childreninwales.org.uk/wp-content/uploads/2015/09/All-Wales-Child-Protection-Procedures-2008.pdf</vt:lpwstr>
      </vt:variant>
      <vt:variant>
        <vt:lpwstr/>
      </vt:variant>
      <vt:variant>
        <vt:i4>1114178</vt:i4>
      </vt:variant>
      <vt:variant>
        <vt:i4>21</vt:i4>
      </vt:variant>
      <vt:variant>
        <vt:i4>0</vt:i4>
      </vt:variant>
      <vt:variant>
        <vt:i4>5</vt:i4>
      </vt:variant>
      <vt:variant>
        <vt:lpwstr>http://www.nncee.org.uk/</vt:lpwstr>
      </vt:variant>
      <vt:variant>
        <vt:lpwstr/>
      </vt:variant>
      <vt:variant>
        <vt:i4>8126565</vt:i4>
      </vt:variant>
      <vt:variant>
        <vt:i4>18</vt:i4>
      </vt:variant>
      <vt:variant>
        <vt:i4>0</vt:i4>
      </vt:variant>
      <vt:variant>
        <vt:i4>5</vt:i4>
      </vt:variant>
      <vt:variant>
        <vt:lpwstr>http://learning.gov.wales/docs/learningwales/publications/170413-keeping-young-performers-safe-best-practice-child-and-young-persons-summary-en-v2.pdf</vt:lpwstr>
      </vt:variant>
      <vt:variant>
        <vt:lpwstr/>
      </vt:variant>
      <vt:variant>
        <vt:i4>2293884</vt:i4>
      </vt:variant>
      <vt:variant>
        <vt:i4>15</vt:i4>
      </vt:variant>
      <vt:variant>
        <vt:i4>0</vt:i4>
      </vt:variant>
      <vt:variant>
        <vt:i4>5</vt:i4>
      </vt:variant>
      <vt:variant>
        <vt:lpwstr>http://learning.gov.wales/docs/learningwales/publications/170407-keeping-young-performers-safe-best-practice-en.pdf</vt:lpwstr>
      </vt:variant>
      <vt:variant>
        <vt:lpwstr/>
      </vt:variant>
      <vt:variant>
        <vt:i4>7274547</vt:i4>
      </vt:variant>
      <vt:variant>
        <vt:i4>12</vt:i4>
      </vt:variant>
      <vt:variant>
        <vt:i4>0</vt:i4>
      </vt:variant>
      <vt:variant>
        <vt:i4>5</vt:i4>
      </vt:variant>
      <vt:variant>
        <vt:lpwstr>http://learning.gov.wales/docs/learningwales/publications/151102-child-performance-easy-read-en.pdf</vt:lpwstr>
      </vt:variant>
      <vt:variant>
        <vt:lpwstr/>
      </vt:variant>
      <vt:variant>
        <vt:i4>4784137</vt:i4>
      </vt:variant>
      <vt:variant>
        <vt:i4>9</vt:i4>
      </vt:variant>
      <vt:variant>
        <vt:i4>0</vt:i4>
      </vt:variant>
      <vt:variant>
        <vt:i4>5</vt:i4>
      </vt:variant>
      <vt:variant>
        <vt:lpwstr>http://learning.gov.wales/docs/learningwales/publications/151029-keeping-young-performers-safe-en-v2.pdf</vt:lpwstr>
      </vt:variant>
      <vt:variant>
        <vt:lpwstr/>
      </vt:variant>
      <vt:variant>
        <vt:i4>131077</vt:i4>
      </vt:variant>
      <vt:variant>
        <vt:i4>6</vt:i4>
      </vt:variant>
      <vt:variant>
        <vt:i4>0</vt:i4>
      </vt:variant>
      <vt:variant>
        <vt:i4>5</vt:i4>
      </vt:variant>
      <vt:variant>
        <vt:lpwstr>http://www.nncee.org.uk/attachments/article/215/Child Performance Regulations Wales 2015.pdf</vt:lpwstr>
      </vt:variant>
      <vt:variant>
        <vt:lpwstr/>
      </vt:variant>
      <vt:variant>
        <vt:i4>327748</vt:i4>
      </vt:variant>
      <vt:variant>
        <vt:i4>3</vt:i4>
      </vt:variant>
      <vt:variant>
        <vt:i4>0</vt:i4>
      </vt:variant>
      <vt:variant>
        <vt:i4>5</vt:i4>
      </vt:variant>
      <vt:variant>
        <vt:lpwstr>http://www.awcpp.org.uk/home/wales-protocols/</vt:lpwstr>
      </vt:variant>
      <vt:variant>
        <vt:lpwstr/>
      </vt:variant>
      <vt:variant>
        <vt:i4>327748</vt:i4>
      </vt:variant>
      <vt:variant>
        <vt:i4>0</vt:i4>
      </vt:variant>
      <vt:variant>
        <vt:i4>0</vt:i4>
      </vt:variant>
      <vt:variant>
        <vt:i4>5</vt:i4>
      </vt:variant>
      <vt:variant>
        <vt:lpwstr>http://www.awcpp.org.uk/home/wales-protocols/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dc:creator>
  <cp:lastModifiedBy>Awen Gravell - S4C</cp:lastModifiedBy>
  <cp:revision>3</cp:revision>
  <cp:lastPrinted>2016-12-01T12:41:00Z</cp:lastPrinted>
  <dcterms:created xsi:type="dcterms:W3CDTF">2024-01-02T09:45:00Z</dcterms:created>
  <dcterms:modified xsi:type="dcterms:W3CDTF">2024-01-02T09:46:00Z</dcterms:modified>
</cp:coreProperties>
</file>