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643D" w14:textId="77777777" w:rsidR="005829F1" w:rsidRPr="000412FB" w:rsidRDefault="005829F1">
      <w:pPr>
        <w:rPr>
          <w:rFonts w:ascii="Verdana" w:hAnsi="Verdana"/>
          <w:sz w:val="20"/>
          <w:szCs w:val="20"/>
        </w:rPr>
      </w:pPr>
    </w:p>
    <w:p w14:paraId="163228DE" w14:textId="77777777" w:rsidR="0040682D" w:rsidRPr="000412FB" w:rsidRDefault="0040682D" w:rsidP="0040682D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134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467"/>
      </w:tblGrid>
      <w:tr w:rsidR="0040682D" w:rsidRPr="000412FB" w14:paraId="1890D649" w14:textId="77777777" w:rsidTr="005306AA">
        <w:trPr>
          <w:trHeight w:val="567"/>
        </w:trPr>
        <w:tc>
          <w:tcPr>
            <w:tcW w:w="134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5682AD" w14:textId="16D12F9F" w:rsidR="0040682D" w:rsidRPr="000412FB" w:rsidRDefault="0040682D" w:rsidP="00BA4AA1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12FB">
              <w:rPr>
                <w:rFonts w:ascii="Verdana" w:hAnsi="Verdana"/>
                <w:b/>
                <w:bCs/>
                <w:sz w:val="20"/>
                <w:szCs w:val="20"/>
              </w:rPr>
              <w:t>S4C</w:t>
            </w:r>
            <w:r w:rsidR="009E182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556F">
              <w:rPr>
                <w:rFonts w:ascii="Verdana" w:hAnsi="Verdana"/>
                <w:b/>
                <w:bCs/>
                <w:sz w:val="20"/>
                <w:szCs w:val="20"/>
              </w:rPr>
              <w:t>Supplier</w:t>
            </w:r>
            <w:proofErr w:type="spellEnd"/>
            <w:r w:rsidR="009E182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182D">
              <w:rPr>
                <w:rFonts w:ascii="Verdana" w:hAnsi="Verdana"/>
                <w:b/>
                <w:bCs/>
                <w:sz w:val="20"/>
                <w:szCs w:val="20"/>
              </w:rPr>
              <w:t>Standards</w:t>
            </w:r>
            <w:proofErr w:type="spellEnd"/>
            <w:r w:rsidR="009E182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182D">
              <w:rPr>
                <w:rFonts w:ascii="Verdana" w:hAnsi="Verdana"/>
                <w:b/>
                <w:bCs/>
                <w:sz w:val="20"/>
                <w:szCs w:val="20"/>
              </w:rPr>
              <w:t>Code</w:t>
            </w:r>
            <w:proofErr w:type="spellEnd"/>
          </w:p>
          <w:p w14:paraId="1ADFD8E7" w14:textId="163CD7B6" w:rsidR="0040682D" w:rsidRPr="00774B7D" w:rsidRDefault="009E182D" w:rsidP="00BA4AA1">
            <w:pPr>
              <w:spacing w:after="10" w:line="240" w:lineRule="auto"/>
              <w:ind w:left="-111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September</w:t>
            </w:r>
            <w:proofErr w:type="spellEnd"/>
            <w:r w:rsidR="0040682D" w:rsidRPr="000412FB">
              <w:rPr>
                <w:rFonts w:ascii="Verdana" w:hAnsi="Verdana"/>
                <w:bCs/>
                <w:sz w:val="20"/>
                <w:szCs w:val="20"/>
              </w:rPr>
              <w:t xml:space="preserve"> 2021</w:t>
            </w:r>
          </w:p>
        </w:tc>
      </w:tr>
    </w:tbl>
    <w:p w14:paraId="0779631F" w14:textId="77777777" w:rsidR="0040682D" w:rsidRPr="00774B7D" w:rsidRDefault="0040682D" w:rsidP="0040682D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56DC635E" w14:textId="77777777" w:rsidR="0040682D" w:rsidRPr="00774B7D" w:rsidRDefault="0040682D" w:rsidP="0040682D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5FDCF572" w14:textId="5C34C186" w:rsidR="00595FB4" w:rsidRDefault="00595FB4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S4C </w:t>
      </w:r>
      <w:r w:rsidR="00774B7D">
        <w:rPr>
          <w:rFonts w:ascii="Verdana" w:hAnsi="Verdana"/>
          <w:bCs/>
          <w:sz w:val="20"/>
          <w:szCs w:val="20"/>
        </w:rPr>
        <w:t xml:space="preserve">is a </w:t>
      </w:r>
      <w:proofErr w:type="spellStart"/>
      <w:r w:rsidR="00774B7D">
        <w:rPr>
          <w:rFonts w:ascii="Verdana" w:hAnsi="Verdana"/>
          <w:bCs/>
          <w:sz w:val="20"/>
          <w:szCs w:val="20"/>
        </w:rPr>
        <w:t>public</w:t>
      </w:r>
      <w:proofErr w:type="spellEnd"/>
      <w:r w:rsidR="00774B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774B7D">
        <w:rPr>
          <w:rFonts w:ascii="Verdana" w:hAnsi="Verdana"/>
          <w:bCs/>
          <w:sz w:val="20"/>
          <w:szCs w:val="20"/>
        </w:rPr>
        <w:t>broadcaster</w:t>
      </w:r>
      <w:proofErr w:type="spellEnd"/>
      <w:r w:rsidR="00774B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774B7D">
        <w:rPr>
          <w:rFonts w:ascii="Verdana" w:hAnsi="Verdana"/>
          <w:bCs/>
          <w:sz w:val="20"/>
          <w:szCs w:val="20"/>
        </w:rPr>
        <w:t>established</w:t>
      </w:r>
      <w:proofErr w:type="spellEnd"/>
      <w:r w:rsidR="00774B7D">
        <w:rPr>
          <w:rFonts w:ascii="Verdana" w:hAnsi="Verdana"/>
          <w:bCs/>
          <w:sz w:val="20"/>
          <w:szCs w:val="20"/>
        </w:rPr>
        <w:t xml:space="preserve"> by</w:t>
      </w:r>
      <w:r w:rsidR="0022229E">
        <w:rPr>
          <w:rFonts w:ascii="Verdana" w:hAnsi="Verdana"/>
          <w:bCs/>
          <w:sz w:val="20"/>
          <w:szCs w:val="20"/>
        </w:rPr>
        <w:t xml:space="preserve"> law.</w:t>
      </w:r>
      <w:r>
        <w:rPr>
          <w:rFonts w:ascii="Verdana" w:hAnsi="Verdana"/>
          <w:bCs/>
          <w:sz w:val="20"/>
          <w:szCs w:val="20"/>
        </w:rPr>
        <w:t xml:space="preserve">  </w:t>
      </w:r>
      <w:r w:rsidR="0022229E">
        <w:rPr>
          <w:rFonts w:ascii="Verdana" w:hAnsi="Verdana"/>
          <w:bCs/>
          <w:sz w:val="20"/>
          <w:szCs w:val="20"/>
        </w:rPr>
        <w:t xml:space="preserve">S4C’s </w:t>
      </w:r>
      <w:proofErr w:type="spellStart"/>
      <w:r w:rsidR="0022229E">
        <w:rPr>
          <w:rFonts w:ascii="Verdana" w:hAnsi="Verdana"/>
          <w:bCs/>
          <w:sz w:val="20"/>
          <w:szCs w:val="20"/>
        </w:rPr>
        <w:t>corporate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objective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is to </w:t>
      </w:r>
      <w:proofErr w:type="spellStart"/>
      <w:r w:rsidR="0022229E">
        <w:rPr>
          <w:rFonts w:ascii="Verdana" w:hAnsi="Verdana"/>
          <w:bCs/>
          <w:sz w:val="20"/>
          <w:szCs w:val="20"/>
        </w:rPr>
        <w:t>provide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a </w:t>
      </w:r>
      <w:proofErr w:type="spellStart"/>
      <w:r w:rsidR="0022229E">
        <w:rPr>
          <w:rFonts w:ascii="Verdana" w:hAnsi="Verdana"/>
          <w:bCs/>
          <w:sz w:val="20"/>
          <w:szCs w:val="20"/>
        </w:rPr>
        <w:t>comprehensive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22229E">
        <w:rPr>
          <w:rFonts w:ascii="Verdana" w:hAnsi="Verdana"/>
          <w:bCs/>
          <w:sz w:val="20"/>
          <w:szCs w:val="20"/>
        </w:rPr>
        <w:t>high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quality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Welsh </w:t>
      </w:r>
      <w:proofErr w:type="spellStart"/>
      <w:r w:rsidR="0022229E">
        <w:rPr>
          <w:rFonts w:ascii="Verdana" w:hAnsi="Verdana"/>
          <w:bCs/>
          <w:sz w:val="20"/>
          <w:szCs w:val="20"/>
        </w:rPr>
        <w:t>language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television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D0D11">
        <w:rPr>
          <w:rFonts w:ascii="Verdana" w:hAnsi="Verdana"/>
          <w:bCs/>
          <w:sz w:val="20"/>
          <w:szCs w:val="20"/>
        </w:rPr>
        <w:t>s</w:t>
      </w:r>
      <w:r w:rsidR="0022229E">
        <w:rPr>
          <w:rFonts w:ascii="Verdana" w:hAnsi="Verdana"/>
          <w:bCs/>
          <w:sz w:val="20"/>
          <w:szCs w:val="20"/>
        </w:rPr>
        <w:t>ervice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that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reflects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and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enriches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life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229E">
        <w:rPr>
          <w:rFonts w:ascii="Verdana" w:hAnsi="Verdana"/>
          <w:bCs/>
          <w:sz w:val="20"/>
          <w:szCs w:val="20"/>
        </w:rPr>
        <w:t>in</w:t>
      </w:r>
      <w:proofErr w:type="spellEnd"/>
      <w:r w:rsidR="0022229E">
        <w:rPr>
          <w:rFonts w:ascii="Verdana" w:hAnsi="Verdana"/>
          <w:bCs/>
          <w:sz w:val="20"/>
          <w:szCs w:val="20"/>
        </w:rPr>
        <w:t xml:space="preserve"> Wales.</w:t>
      </w:r>
    </w:p>
    <w:p w14:paraId="3AC1109F" w14:textId="2E76481B" w:rsidR="006A35D6" w:rsidRDefault="0022229E" w:rsidP="00BA4AA1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This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Code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reflects</w:t>
      </w:r>
      <w:proofErr w:type="spellEnd"/>
      <w:r>
        <w:rPr>
          <w:rFonts w:ascii="Verdana" w:hAnsi="Verdana"/>
          <w:bCs/>
          <w:sz w:val="20"/>
          <w:szCs w:val="20"/>
        </w:rPr>
        <w:t xml:space="preserve"> S4C’s </w:t>
      </w:r>
      <w:proofErr w:type="spellStart"/>
      <w:r>
        <w:rPr>
          <w:rFonts w:ascii="Verdana" w:hAnsi="Verdana"/>
          <w:bCs/>
          <w:sz w:val="20"/>
          <w:szCs w:val="20"/>
        </w:rPr>
        <w:t>aim</w:t>
      </w:r>
      <w:proofErr w:type="spellEnd"/>
      <w:r>
        <w:rPr>
          <w:rFonts w:ascii="Verdana" w:hAnsi="Verdana"/>
          <w:bCs/>
          <w:sz w:val="20"/>
          <w:szCs w:val="20"/>
        </w:rPr>
        <w:t xml:space="preserve"> to </w:t>
      </w:r>
      <w:proofErr w:type="spellStart"/>
      <w:r>
        <w:rPr>
          <w:rFonts w:ascii="Verdana" w:hAnsi="Verdana"/>
          <w:bCs/>
          <w:sz w:val="20"/>
          <w:szCs w:val="20"/>
        </w:rPr>
        <w:t>uphold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ethical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transparent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and</w:t>
      </w:r>
      <w:proofErr w:type="spellEnd"/>
      <w:r>
        <w:rPr>
          <w:rFonts w:ascii="Verdana" w:hAnsi="Verdana"/>
          <w:bCs/>
          <w:sz w:val="20"/>
          <w:szCs w:val="20"/>
        </w:rPr>
        <w:t xml:space="preserve"> honest </w:t>
      </w:r>
      <w:proofErr w:type="spellStart"/>
      <w:r>
        <w:rPr>
          <w:rFonts w:ascii="Verdana" w:hAnsi="Verdana"/>
          <w:bCs/>
          <w:sz w:val="20"/>
          <w:szCs w:val="20"/>
        </w:rPr>
        <w:t>standards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in</w:t>
      </w:r>
      <w:proofErr w:type="spellEnd"/>
      <w:r>
        <w:rPr>
          <w:rFonts w:ascii="Verdana" w:hAnsi="Verdana"/>
          <w:bCs/>
          <w:sz w:val="20"/>
          <w:szCs w:val="20"/>
        </w:rPr>
        <w:t xml:space="preserve"> the </w:t>
      </w:r>
      <w:proofErr w:type="spellStart"/>
      <w:r>
        <w:rPr>
          <w:rFonts w:ascii="Verdana" w:hAnsi="Verdana"/>
          <w:bCs/>
          <w:sz w:val="20"/>
          <w:szCs w:val="20"/>
        </w:rPr>
        <w:t>performance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its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functions</w:t>
      </w:r>
      <w:proofErr w:type="spellEnd"/>
      <w:r>
        <w:rPr>
          <w:rFonts w:ascii="Verdana" w:hAnsi="Verdana"/>
          <w:bCs/>
          <w:sz w:val="20"/>
          <w:szCs w:val="20"/>
        </w:rPr>
        <w:t>.</w:t>
      </w:r>
      <w:r w:rsidR="006A35D6">
        <w:rPr>
          <w:rFonts w:ascii="Verdana" w:hAnsi="Verdana"/>
          <w:bCs/>
          <w:sz w:val="20"/>
          <w:szCs w:val="20"/>
        </w:rPr>
        <w:t xml:space="preserve">  </w:t>
      </w:r>
    </w:p>
    <w:p w14:paraId="1BA7876B" w14:textId="058A556E" w:rsidR="006A35D6" w:rsidRDefault="0022229E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Most of S4C’s </w:t>
      </w:r>
      <w:proofErr w:type="spellStart"/>
      <w:r>
        <w:rPr>
          <w:rFonts w:ascii="Verdana" w:hAnsi="Verdana"/>
          <w:bCs/>
          <w:sz w:val="20"/>
          <w:szCs w:val="20"/>
        </w:rPr>
        <w:t>program</w:t>
      </w:r>
      <w:r w:rsidR="009D0D11">
        <w:rPr>
          <w:rFonts w:ascii="Verdana" w:hAnsi="Verdana"/>
          <w:bCs/>
          <w:sz w:val="20"/>
          <w:szCs w:val="20"/>
        </w:rPr>
        <w:t>me</w:t>
      </w:r>
      <w:r>
        <w:rPr>
          <w:rFonts w:ascii="Verdana" w:hAnsi="Verdana"/>
          <w:bCs/>
          <w:sz w:val="20"/>
          <w:szCs w:val="20"/>
        </w:rPr>
        <w:t>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are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produced</w:t>
      </w:r>
      <w:proofErr w:type="spellEnd"/>
      <w:r>
        <w:rPr>
          <w:rFonts w:ascii="Verdana" w:hAnsi="Verdana"/>
          <w:bCs/>
          <w:sz w:val="20"/>
          <w:szCs w:val="20"/>
        </w:rPr>
        <w:t xml:space="preserve"> by </w:t>
      </w:r>
      <w:proofErr w:type="spellStart"/>
      <w:r>
        <w:rPr>
          <w:rFonts w:ascii="Verdana" w:hAnsi="Verdana"/>
          <w:bCs/>
          <w:sz w:val="20"/>
          <w:szCs w:val="20"/>
        </w:rPr>
        <w:t>independent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producers</w:t>
      </w:r>
      <w:proofErr w:type="spellEnd"/>
      <w:r>
        <w:rPr>
          <w:rFonts w:ascii="Verdana" w:hAnsi="Verdana"/>
          <w:bCs/>
          <w:sz w:val="20"/>
          <w:szCs w:val="20"/>
        </w:rPr>
        <w:t xml:space="preserve">.  </w:t>
      </w:r>
      <w:proofErr w:type="spellStart"/>
      <w:r>
        <w:rPr>
          <w:rFonts w:ascii="Verdana" w:hAnsi="Verdana"/>
          <w:bCs/>
          <w:sz w:val="20"/>
          <w:szCs w:val="20"/>
        </w:rPr>
        <w:t>Suppliers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are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therefore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expected</w:t>
      </w:r>
      <w:proofErr w:type="spellEnd"/>
      <w:r>
        <w:rPr>
          <w:rFonts w:ascii="Verdana" w:hAnsi="Verdana"/>
          <w:bCs/>
          <w:sz w:val="20"/>
          <w:szCs w:val="20"/>
        </w:rPr>
        <w:t xml:space="preserve"> to </w:t>
      </w:r>
      <w:proofErr w:type="spellStart"/>
      <w:r>
        <w:rPr>
          <w:rFonts w:ascii="Verdana" w:hAnsi="Verdana"/>
          <w:bCs/>
          <w:sz w:val="20"/>
          <w:szCs w:val="20"/>
        </w:rPr>
        <w:t>ensure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that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they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operate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accordance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with</w:t>
      </w:r>
      <w:proofErr w:type="spellEnd"/>
      <w:r>
        <w:rPr>
          <w:rFonts w:ascii="Verdana" w:hAnsi="Verdana"/>
          <w:bCs/>
          <w:sz w:val="20"/>
          <w:szCs w:val="20"/>
        </w:rPr>
        <w:t xml:space="preserve"> the </w:t>
      </w:r>
      <w:proofErr w:type="spellStart"/>
      <w:r>
        <w:rPr>
          <w:rFonts w:ascii="Verdana" w:hAnsi="Verdana"/>
          <w:bCs/>
          <w:sz w:val="20"/>
          <w:szCs w:val="20"/>
        </w:rPr>
        <w:t>principles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values</w:t>
      </w:r>
      <w:proofErr w:type="spellEnd"/>
      <w:r>
        <w:rPr>
          <w:rFonts w:ascii="Verdana" w:hAnsi="Verdana"/>
          <w:bCs/>
          <w:sz w:val="20"/>
          <w:szCs w:val="20"/>
        </w:rPr>
        <w:t xml:space="preserve"> set </w:t>
      </w:r>
      <w:proofErr w:type="spellStart"/>
      <w:r>
        <w:rPr>
          <w:rFonts w:ascii="Verdana" w:hAnsi="Verdana"/>
          <w:bCs/>
          <w:sz w:val="20"/>
          <w:szCs w:val="20"/>
        </w:rPr>
        <w:t>out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this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code</w:t>
      </w:r>
      <w:proofErr w:type="spellEnd"/>
      <w:r w:rsidR="00DA556F">
        <w:rPr>
          <w:rFonts w:ascii="Verdana" w:hAnsi="Verdana"/>
          <w:bCs/>
          <w:sz w:val="20"/>
          <w:szCs w:val="20"/>
        </w:rPr>
        <w:t>.</w:t>
      </w:r>
    </w:p>
    <w:p w14:paraId="0502DDAE" w14:textId="02E5FB8A" w:rsidR="0051670A" w:rsidRPr="0051670A" w:rsidRDefault="00DA556F" w:rsidP="00BA4AA1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For</w:t>
      </w:r>
      <w:proofErr w:type="spellEnd"/>
      <w:r>
        <w:rPr>
          <w:rFonts w:ascii="Verdana" w:hAnsi="Verdana"/>
          <w:bCs/>
          <w:sz w:val="20"/>
          <w:szCs w:val="20"/>
        </w:rPr>
        <w:t xml:space="preserve"> the </w:t>
      </w:r>
      <w:proofErr w:type="spellStart"/>
      <w:r>
        <w:rPr>
          <w:rFonts w:ascii="Verdana" w:hAnsi="Verdana"/>
          <w:bCs/>
          <w:sz w:val="20"/>
          <w:szCs w:val="20"/>
        </w:rPr>
        <w:t>avoidance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doubt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this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Code</w:t>
      </w:r>
      <w:proofErr w:type="spellEnd"/>
      <w:r>
        <w:rPr>
          <w:rFonts w:ascii="Verdana" w:hAnsi="Verdana"/>
          <w:bCs/>
          <w:sz w:val="20"/>
          <w:szCs w:val="20"/>
        </w:rPr>
        <w:t xml:space="preserve"> does not </w:t>
      </w:r>
      <w:proofErr w:type="spellStart"/>
      <w:r>
        <w:rPr>
          <w:rFonts w:ascii="Verdana" w:hAnsi="Verdana"/>
          <w:bCs/>
          <w:sz w:val="20"/>
          <w:szCs w:val="20"/>
        </w:rPr>
        <w:t>replace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any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contractual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arrangement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but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should</w:t>
      </w:r>
      <w:proofErr w:type="spellEnd"/>
      <w:r>
        <w:rPr>
          <w:rFonts w:ascii="Verdana" w:hAnsi="Verdana"/>
          <w:bCs/>
          <w:sz w:val="20"/>
          <w:szCs w:val="20"/>
        </w:rPr>
        <w:t xml:space="preserve"> be </w:t>
      </w:r>
      <w:proofErr w:type="spellStart"/>
      <w:r>
        <w:rPr>
          <w:rFonts w:ascii="Verdana" w:hAnsi="Verdana"/>
          <w:bCs/>
          <w:sz w:val="20"/>
          <w:szCs w:val="20"/>
        </w:rPr>
        <w:t>regarded</w:t>
      </w:r>
      <w:proofErr w:type="spellEnd"/>
      <w:r>
        <w:rPr>
          <w:rFonts w:ascii="Verdana" w:hAnsi="Verdana"/>
          <w:bCs/>
          <w:sz w:val="20"/>
          <w:szCs w:val="20"/>
        </w:rPr>
        <w:t xml:space="preserve"> as </w:t>
      </w:r>
      <w:proofErr w:type="spellStart"/>
      <w:r>
        <w:rPr>
          <w:rFonts w:ascii="Verdana" w:hAnsi="Verdana"/>
          <w:bCs/>
          <w:sz w:val="20"/>
          <w:szCs w:val="20"/>
        </w:rPr>
        <w:t>supplementary</w:t>
      </w:r>
      <w:proofErr w:type="spellEnd"/>
      <w:r>
        <w:rPr>
          <w:rFonts w:ascii="Verdana" w:hAnsi="Verdana"/>
          <w:bCs/>
          <w:sz w:val="20"/>
          <w:szCs w:val="20"/>
        </w:rPr>
        <w:t xml:space="preserve"> to </w:t>
      </w:r>
      <w:proofErr w:type="spellStart"/>
      <w:r>
        <w:rPr>
          <w:rFonts w:ascii="Verdana" w:hAnsi="Verdana"/>
          <w:bCs/>
          <w:sz w:val="20"/>
          <w:szCs w:val="20"/>
        </w:rPr>
        <w:t>them</w:t>
      </w:r>
      <w:proofErr w:type="spellEnd"/>
      <w:r>
        <w:rPr>
          <w:rFonts w:ascii="Verdana" w:hAnsi="Verdana"/>
          <w:bCs/>
          <w:sz w:val="20"/>
          <w:szCs w:val="20"/>
        </w:rPr>
        <w:t>.</w:t>
      </w:r>
      <w:r w:rsidR="0051670A" w:rsidRPr="0051670A">
        <w:rPr>
          <w:rFonts w:ascii="Verdana" w:hAnsi="Verdana"/>
          <w:bCs/>
          <w:sz w:val="20"/>
          <w:szCs w:val="20"/>
        </w:rPr>
        <w:t xml:space="preserve"> </w:t>
      </w:r>
    </w:p>
    <w:p w14:paraId="59FF0C77" w14:textId="1A5655E2" w:rsidR="004315C4" w:rsidRPr="0051670A" w:rsidRDefault="00DA556F" w:rsidP="00BA4AA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</w:t>
      </w:r>
      <w:proofErr w:type="spellStart"/>
      <w:r>
        <w:rPr>
          <w:rFonts w:ascii="Verdana" w:hAnsi="Verdana"/>
          <w:sz w:val="20"/>
          <w:szCs w:val="20"/>
        </w:rPr>
        <w:t>policies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guidelines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referred</w:t>
      </w:r>
      <w:proofErr w:type="spellEnd"/>
      <w:r>
        <w:rPr>
          <w:rFonts w:ascii="Verdana" w:hAnsi="Verdana"/>
          <w:sz w:val="20"/>
          <w:szCs w:val="20"/>
        </w:rPr>
        <w:t xml:space="preserve"> to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contained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</w:t>
      </w:r>
      <w:proofErr w:type="spellEnd"/>
      <w:r>
        <w:rPr>
          <w:rFonts w:ascii="Verdana" w:hAnsi="Verdana"/>
          <w:sz w:val="20"/>
          <w:szCs w:val="20"/>
        </w:rPr>
        <w:t xml:space="preserve"> the S4C </w:t>
      </w:r>
      <w:proofErr w:type="spellStart"/>
      <w:r>
        <w:rPr>
          <w:rFonts w:ascii="Verdana" w:hAnsi="Verdana"/>
          <w:sz w:val="20"/>
          <w:szCs w:val="20"/>
        </w:rPr>
        <w:t>production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website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7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here</w:t>
        </w:r>
        <w:proofErr w:type="spellEnd"/>
      </w:hyperlink>
      <w:r w:rsidR="00D77086">
        <w:rPr>
          <w:rFonts w:ascii="Verdana" w:hAnsi="Verdana"/>
          <w:sz w:val="20"/>
          <w:szCs w:val="20"/>
        </w:rPr>
        <w:t xml:space="preserve">. </w:t>
      </w:r>
    </w:p>
    <w:p w14:paraId="288E0A2C" w14:textId="77777777" w:rsidR="004315C4" w:rsidRPr="0051670A" w:rsidRDefault="004315C4">
      <w:pPr>
        <w:rPr>
          <w:rFonts w:ascii="Verdana" w:hAnsi="Verdana"/>
          <w:sz w:val="20"/>
          <w:szCs w:val="20"/>
        </w:rPr>
      </w:pPr>
    </w:p>
    <w:p w14:paraId="6C2904C3" w14:textId="77777777" w:rsidR="004315C4" w:rsidRPr="0051670A" w:rsidRDefault="004315C4">
      <w:pPr>
        <w:rPr>
          <w:rFonts w:ascii="Verdana" w:hAnsi="Verdana"/>
          <w:sz w:val="20"/>
          <w:szCs w:val="20"/>
        </w:rPr>
      </w:pPr>
    </w:p>
    <w:p w14:paraId="7CA89151" w14:textId="77777777" w:rsidR="004315C4" w:rsidRDefault="004315C4">
      <w:pPr>
        <w:rPr>
          <w:rFonts w:ascii="Verdana" w:hAnsi="Verdana"/>
          <w:sz w:val="20"/>
          <w:szCs w:val="20"/>
        </w:rPr>
      </w:pPr>
    </w:p>
    <w:p w14:paraId="69DBC097" w14:textId="77777777" w:rsidR="007A40B1" w:rsidRPr="000412FB" w:rsidRDefault="007A40B1">
      <w:pPr>
        <w:rPr>
          <w:rFonts w:ascii="Verdana" w:hAnsi="Verdana"/>
          <w:sz w:val="20"/>
          <w:szCs w:val="20"/>
        </w:rPr>
      </w:pPr>
    </w:p>
    <w:p w14:paraId="2E785DEA" w14:textId="77777777" w:rsidR="004315C4" w:rsidRPr="000412FB" w:rsidRDefault="004315C4">
      <w:pPr>
        <w:rPr>
          <w:rFonts w:ascii="Verdana" w:hAnsi="Verdana"/>
          <w:sz w:val="20"/>
          <w:szCs w:val="20"/>
        </w:rPr>
      </w:pPr>
    </w:p>
    <w:p w14:paraId="5AB7938D" w14:textId="77777777" w:rsidR="004315C4" w:rsidRPr="000412FB" w:rsidRDefault="004315C4">
      <w:pPr>
        <w:rPr>
          <w:rFonts w:ascii="Verdana" w:hAnsi="Verdana"/>
          <w:sz w:val="20"/>
          <w:szCs w:val="20"/>
        </w:rPr>
      </w:pPr>
    </w:p>
    <w:p w14:paraId="4FA4753E" w14:textId="77777777" w:rsidR="004315C4" w:rsidRPr="000412FB" w:rsidRDefault="00FD1E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311E" wp14:editId="088C3FF8">
                <wp:simplePos x="0" y="0"/>
                <wp:positionH relativeFrom="column">
                  <wp:posOffset>6070600</wp:posOffset>
                </wp:positionH>
                <wp:positionV relativeFrom="paragraph">
                  <wp:posOffset>211455</wp:posOffset>
                </wp:positionV>
                <wp:extent cx="0" cy="5702300"/>
                <wp:effectExtent l="0" t="0" r="381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82E6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16.65pt" to="478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B688" wp14:editId="232D440B">
                <wp:simplePos x="0" y="0"/>
                <wp:positionH relativeFrom="column">
                  <wp:posOffset>2870200</wp:posOffset>
                </wp:positionH>
                <wp:positionV relativeFrom="paragraph">
                  <wp:posOffset>261620</wp:posOffset>
                </wp:positionV>
                <wp:extent cx="0" cy="5702300"/>
                <wp:effectExtent l="0" t="0" r="381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0A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20.6pt" to="226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7332B060" w14:textId="77777777" w:rsidR="006A35D6" w:rsidRPr="000412FB" w:rsidRDefault="006A35D6" w:rsidP="00BF0DEE">
      <w:pPr>
        <w:jc w:val="both"/>
        <w:rPr>
          <w:rFonts w:ascii="Verdana" w:hAnsi="Verdana"/>
          <w:sz w:val="20"/>
          <w:szCs w:val="20"/>
        </w:rPr>
        <w:sectPr w:rsidR="006A35D6" w:rsidRPr="000412FB" w:rsidSect="001D774A">
          <w:headerReference w:type="default" r:id="rId8"/>
          <w:pgSz w:w="16838" w:h="11906" w:orient="landscape"/>
          <w:pgMar w:top="1440" w:right="8474" w:bottom="1440" w:left="1440" w:header="708" w:footer="708" w:gutter="0"/>
          <w:cols w:space="708"/>
          <w:docGrid w:linePitch="360"/>
        </w:sectPr>
      </w:pPr>
    </w:p>
    <w:p w14:paraId="7AA53F71" w14:textId="6F853941" w:rsidR="004315C4" w:rsidRPr="00FD1E0E" w:rsidRDefault="009A25FC" w:rsidP="00BF0DE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Our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principles</w:t>
      </w:r>
      <w:proofErr w:type="spellEnd"/>
    </w:p>
    <w:p w14:paraId="307FD9E6" w14:textId="2EE8AEA0" w:rsidR="0051670A" w:rsidRPr="00FD1E0E" w:rsidRDefault="009A25FC" w:rsidP="00BF0DEE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Here</w:t>
      </w:r>
      <w:proofErr w:type="spellEnd"/>
      <w:r>
        <w:rPr>
          <w:rFonts w:ascii="Verdana" w:hAnsi="Verdana"/>
          <w:sz w:val="18"/>
          <w:szCs w:val="18"/>
        </w:rPr>
        <w:t xml:space="preserve"> is a </w:t>
      </w:r>
      <w:proofErr w:type="spellStart"/>
      <w:r>
        <w:rPr>
          <w:rFonts w:ascii="Verdana" w:hAnsi="Verdana"/>
          <w:sz w:val="18"/>
          <w:szCs w:val="18"/>
        </w:rPr>
        <w:t>summary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 w:rsidR="00F7788A">
        <w:rPr>
          <w:rFonts w:ascii="Verdana" w:hAnsi="Verdana"/>
          <w:sz w:val="18"/>
          <w:szCs w:val="18"/>
        </w:rPr>
        <w:t>some</w:t>
      </w:r>
      <w:proofErr w:type="spellEnd"/>
      <w:r w:rsidR="00F7788A">
        <w:rPr>
          <w:rFonts w:ascii="Verdana" w:hAnsi="Verdana"/>
          <w:sz w:val="18"/>
          <w:szCs w:val="18"/>
        </w:rPr>
        <w:t xml:space="preserve"> of </w:t>
      </w:r>
      <w:r>
        <w:rPr>
          <w:rFonts w:ascii="Verdana" w:hAnsi="Verdana"/>
          <w:sz w:val="18"/>
          <w:szCs w:val="18"/>
        </w:rPr>
        <w:t xml:space="preserve">the </w:t>
      </w:r>
      <w:proofErr w:type="spellStart"/>
      <w:r>
        <w:rPr>
          <w:rFonts w:ascii="Verdana" w:hAnsi="Verdana"/>
          <w:sz w:val="18"/>
          <w:szCs w:val="18"/>
        </w:rPr>
        <w:t>key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areas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all S4C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expected</w:t>
      </w:r>
      <w:proofErr w:type="spellEnd"/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comply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>.</w:t>
      </w:r>
      <w:r w:rsidR="00F7788A">
        <w:rPr>
          <w:rFonts w:ascii="Verdana" w:hAnsi="Verdana"/>
          <w:sz w:val="18"/>
          <w:szCs w:val="18"/>
        </w:rPr>
        <w:t xml:space="preserve">  </w:t>
      </w:r>
      <w:proofErr w:type="spellStart"/>
      <w:r w:rsidR="00F7788A">
        <w:rPr>
          <w:rFonts w:ascii="Verdana" w:hAnsi="Verdana"/>
          <w:sz w:val="18"/>
          <w:szCs w:val="18"/>
        </w:rPr>
        <w:t>This</w:t>
      </w:r>
      <w:proofErr w:type="spellEnd"/>
      <w:r w:rsidR="00F7788A">
        <w:rPr>
          <w:rFonts w:ascii="Verdana" w:hAnsi="Verdana"/>
          <w:sz w:val="18"/>
          <w:szCs w:val="18"/>
        </w:rPr>
        <w:t xml:space="preserve"> is not </w:t>
      </w:r>
      <w:proofErr w:type="spellStart"/>
      <w:r w:rsidR="00F7788A">
        <w:rPr>
          <w:rFonts w:ascii="Verdana" w:hAnsi="Verdana"/>
          <w:sz w:val="18"/>
          <w:szCs w:val="18"/>
        </w:rPr>
        <w:t>an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exhaustive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list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and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suppliers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must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comply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with</w:t>
      </w:r>
      <w:proofErr w:type="spellEnd"/>
      <w:r w:rsidR="00F7788A">
        <w:rPr>
          <w:rFonts w:ascii="Verdana" w:hAnsi="Verdana"/>
          <w:sz w:val="18"/>
          <w:szCs w:val="18"/>
        </w:rPr>
        <w:t xml:space="preserve"> all </w:t>
      </w:r>
      <w:proofErr w:type="spellStart"/>
      <w:r w:rsidR="00F7788A">
        <w:rPr>
          <w:rFonts w:ascii="Verdana" w:hAnsi="Verdana"/>
          <w:sz w:val="18"/>
          <w:szCs w:val="18"/>
        </w:rPr>
        <w:t>relevant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regulations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and</w:t>
      </w:r>
      <w:proofErr w:type="spellEnd"/>
      <w:r w:rsidR="00F7788A">
        <w:rPr>
          <w:rFonts w:ascii="Verdana" w:hAnsi="Verdana"/>
          <w:sz w:val="18"/>
          <w:szCs w:val="18"/>
        </w:rPr>
        <w:t xml:space="preserve"> </w:t>
      </w:r>
      <w:proofErr w:type="spellStart"/>
      <w:r w:rsidR="00F7788A">
        <w:rPr>
          <w:rFonts w:ascii="Verdana" w:hAnsi="Verdana"/>
          <w:sz w:val="18"/>
          <w:szCs w:val="18"/>
        </w:rPr>
        <w:t>laws</w:t>
      </w:r>
      <w:proofErr w:type="spellEnd"/>
      <w:r w:rsidR="00F7788A">
        <w:rPr>
          <w:rFonts w:ascii="Verdana" w:hAnsi="Verdana"/>
          <w:sz w:val="18"/>
          <w:szCs w:val="18"/>
        </w:rPr>
        <w:t>.</w:t>
      </w:r>
    </w:p>
    <w:p w14:paraId="33D70C2B" w14:textId="11FC5CBF" w:rsidR="00F73171" w:rsidRPr="00FD1E0E" w:rsidRDefault="009A25FC" w:rsidP="00F73171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Contributor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Welfare</w:t>
      </w:r>
      <w:proofErr w:type="spellEnd"/>
    </w:p>
    <w:p w14:paraId="5BFAAFA0" w14:textId="2ABEB876" w:rsidR="00F73171" w:rsidRDefault="009A25FC" w:rsidP="00F73171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place</w:t>
      </w:r>
      <w:proofErr w:type="spellEnd"/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welfare</w:t>
      </w:r>
      <w:proofErr w:type="spellEnd"/>
      <w:r>
        <w:rPr>
          <w:rFonts w:ascii="Verdana" w:hAnsi="Verdana"/>
          <w:sz w:val="18"/>
          <w:szCs w:val="18"/>
        </w:rPr>
        <w:t xml:space="preserve"> of all </w:t>
      </w:r>
      <w:proofErr w:type="spellStart"/>
      <w:r>
        <w:rPr>
          <w:rFonts w:ascii="Verdana" w:hAnsi="Verdana"/>
          <w:sz w:val="18"/>
          <w:szCs w:val="18"/>
        </w:rPr>
        <w:t>contributors</w:t>
      </w:r>
      <w:proofErr w:type="spellEnd"/>
      <w:r>
        <w:rPr>
          <w:rFonts w:ascii="Verdana" w:hAnsi="Verdana"/>
          <w:sz w:val="18"/>
          <w:szCs w:val="18"/>
        </w:rPr>
        <w:t>.</w:t>
      </w:r>
      <w:r w:rsidR="00F73171">
        <w:rPr>
          <w:rFonts w:ascii="Verdana" w:hAnsi="Verdana"/>
          <w:sz w:val="18"/>
          <w:szCs w:val="18"/>
        </w:rPr>
        <w:t xml:space="preserve">  </w:t>
      </w:r>
      <w:proofErr w:type="spellStart"/>
      <w:r w:rsidR="0093697F">
        <w:rPr>
          <w:rFonts w:ascii="Verdana" w:hAnsi="Verdana"/>
          <w:sz w:val="18"/>
          <w:szCs w:val="18"/>
        </w:rPr>
        <w:t>S</w:t>
      </w:r>
      <w:r w:rsidR="009D0D11">
        <w:rPr>
          <w:rFonts w:ascii="Verdana" w:hAnsi="Verdana"/>
          <w:sz w:val="18"/>
          <w:szCs w:val="18"/>
        </w:rPr>
        <w:t>u</w:t>
      </w:r>
      <w:r w:rsidR="0093697F">
        <w:rPr>
          <w:rFonts w:ascii="Verdana" w:hAnsi="Verdana"/>
          <w:sz w:val="18"/>
          <w:szCs w:val="18"/>
        </w:rPr>
        <w:t>ppliers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should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ensure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that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those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processes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are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consistent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with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relevant</w:t>
      </w:r>
      <w:proofErr w:type="spellEnd"/>
      <w:r w:rsidR="0093697F">
        <w:rPr>
          <w:rFonts w:ascii="Verdana" w:hAnsi="Verdana"/>
          <w:sz w:val="18"/>
          <w:szCs w:val="18"/>
        </w:rPr>
        <w:t xml:space="preserve"> S4C </w:t>
      </w:r>
      <w:proofErr w:type="spellStart"/>
      <w:r w:rsidR="0093697F">
        <w:rPr>
          <w:rFonts w:ascii="Verdana" w:hAnsi="Verdana"/>
          <w:sz w:val="18"/>
          <w:szCs w:val="18"/>
        </w:rPr>
        <w:t>policies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and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guidelines</w:t>
      </w:r>
      <w:proofErr w:type="spellEnd"/>
      <w:r w:rsidR="0093697F">
        <w:rPr>
          <w:rFonts w:ascii="Verdana" w:hAnsi="Verdana"/>
          <w:sz w:val="18"/>
          <w:szCs w:val="18"/>
        </w:rPr>
        <w:t xml:space="preserve">, </w:t>
      </w:r>
      <w:proofErr w:type="spellStart"/>
      <w:r w:rsidR="0093697F">
        <w:rPr>
          <w:rFonts w:ascii="Verdana" w:hAnsi="Verdana"/>
          <w:sz w:val="18"/>
          <w:szCs w:val="18"/>
        </w:rPr>
        <w:t>in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particular</w:t>
      </w:r>
      <w:proofErr w:type="spellEnd"/>
      <w:r w:rsidR="0093697F">
        <w:rPr>
          <w:rFonts w:ascii="Verdana" w:hAnsi="Verdana"/>
          <w:sz w:val="18"/>
          <w:szCs w:val="18"/>
        </w:rPr>
        <w:t xml:space="preserve"> the </w:t>
      </w:r>
      <w:proofErr w:type="spellStart"/>
      <w:r w:rsidR="0093697F">
        <w:rPr>
          <w:rFonts w:ascii="Verdana" w:hAnsi="Verdana"/>
          <w:sz w:val="18"/>
          <w:szCs w:val="18"/>
        </w:rPr>
        <w:t>latest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Contributor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Welfare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93697F">
        <w:rPr>
          <w:rFonts w:ascii="Verdana" w:hAnsi="Verdana"/>
          <w:sz w:val="18"/>
          <w:szCs w:val="18"/>
        </w:rPr>
        <w:t>Guidelines</w:t>
      </w:r>
      <w:proofErr w:type="spellEnd"/>
      <w:r w:rsidR="0093697F">
        <w:rPr>
          <w:rFonts w:ascii="Verdana" w:hAnsi="Verdana"/>
          <w:sz w:val="18"/>
          <w:szCs w:val="18"/>
        </w:rPr>
        <w:t xml:space="preserve"> </w:t>
      </w:r>
      <w:proofErr w:type="spellStart"/>
      <w:r w:rsidR="00171168">
        <w:rPr>
          <w:rFonts w:ascii="Verdana" w:hAnsi="Verdana"/>
          <w:sz w:val="18"/>
          <w:szCs w:val="18"/>
        </w:rPr>
        <w:t>and</w:t>
      </w:r>
      <w:proofErr w:type="spellEnd"/>
      <w:r w:rsidR="00171168">
        <w:rPr>
          <w:rFonts w:ascii="Verdana" w:hAnsi="Verdana"/>
          <w:sz w:val="18"/>
          <w:szCs w:val="18"/>
        </w:rPr>
        <w:t xml:space="preserve"> S4C’s </w:t>
      </w:r>
      <w:proofErr w:type="spellStart"/>
      <w:r w:rsidR="00171168">
        <w:rPr>
          <w:rFonts w:ascii="Verdana" w:hAnsi="Verdana"/>
          <w:sz w:val="18"/>
          <w:szCs w:val="18"/>
        </w:rPr>
        <w:t>Child</w:t>
      </w:r>
      <w:proofErr w:type="spellEnd"/>
      <w:r w:rsidR="00171168">
        <w:rPr>
          <w:rFonts w:ascii="Verdana" w:hAnsi="Verdana"/>
          <w:sz w:val="18"/>
          <w:szCs w:val="18"/>
        </w:rPr>
        <w:t xml:space="preserve"> </w:t>
      </w:r>
      <w:proofErr w:type="spellStart"/>
      <w:r w:rsidR="00171168">
        <w:rPr>
          <w:rFonts w:ascii="Verdana" w:hAnsi="Verdana"/>
          <w:sz w:val="18"/>
          <w:szCs w:val="18"/>
        </w:rPr>
        <w:t>Protection</w:t>
      </w:r>
      <w:proofErr w:type="spellEnd"/>
      <w:r w:rsidR="00171168">
        <w:rPr>
          <w:rFonts w:ascii="Verdana" w:hAnsi="Verdana"/>
          <w:sz w:val="18"/>
          <w:szCs w:val="18"/>
        </w:rPr>
        <w:t xml:space="preserve"> </w:t>
      </w:r>
      <w:proofErr w:type="spellStart"/>
      <w:r w:rsidR="00171168">
        <w:rPr>
          <w:rFonts w:ascii="Verdana" w:hAnsi="Verdana"/>
          <w:sz w:val="18"/>
          <w:szCs w:val="18"/>
        </w:rPr>
        <w:t>Policy</w:t>
      </w:r>
      <w:proofErr w:type="spellEnd"/>
      <w:r w:rsidR="00171168">
        <w:rPr>
          <w:rFonts w:ascii="Verdana" w:hAnsi="Verdana"/>
          <w:sz w:val="18"/>
          <w:szCs w:val="18"/>
        </w:rPr>
        <w:t>.</w:t>
      </w:r>
    </w:p>
    <w:p w14:paraId="3B307D71" w14:textId="1F622F6C" w:rsidR="00F73171" w:rsidRPr="00FD1E0E" w:rsidRDefault="00F5282D" w:rsidP="00F73171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Diversity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and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Inclusion</w:t>
      </w:r>
      <w:proofErr w:type="spellEnd"/>
    </w:p>
    <w:p w14:paraId="4E493C9B" w14:textId="4114F6E0" w:rsidR="00F73171" w:rsidRDefault="00F5282D" w:rsidP="00F73171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good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understanding</w:t>
      </w:r>
      <w:proofErr w:type="spellEnd"/>
      <w:r>
        <w:rPr>
          <w:rFonts w:ascii="Verdana" w:hAnsi="Verdana"/>
          <w:sz w:val="18"/>
          <w:szCs w:val="18"/>
        </w:rPr>
        <w:t xml:space="preserve"> of S4C’s </w:t>
      </w:r>
      <w:proofErr w:type="spellStart"/>
      <w:r>
        <w:rPr>
          <w:rFonts w:ascii="Verdana" w:hAnsi="Verdana"/>
          <w:sz w:val="18"/>
          <w:szCs w:val="18"/>
        </w:rPr>
        <w:t>Commitment</w:t>
      </w:r>
      <w:proofErr w:type="spellEnd"/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Diversity</w:t>
      </w:r>
      <w:proofErr w:type="spellEnd"/>
      <w:r>
        <w:rPr>
          <w:rFonts w:ascii="Verdana" w:hAnsi="Verdana"/>
          <w:sz w:val="18"/>
          <w:szCs w:val="18"/>
        </w:rPr>
        <w:t xml:space="preserve"> as well as S4C’s </w:t>
      </w:r>
      <w:proofErr w:type="spellStart"/>
      <w:r>
        <w:rPr>
          <w:rFonts w:ascii="Verdana" w:hAnsi="Verdana"/>
          <w:sz w:val="18"/>
          <w:szCs w:val="18"/>
        </w:rPr>
        <w:t>Equality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Diversity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Equal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Opportunities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Policy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AA6D701" w14:textId="5AB70EB3" w:rsidR="0051670A" w:rsidRPr="00FD1E0E" w:rsidRDefault="00F5282D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M</w:t>
      </w:r>
      <w:r w:rsidR="00F73171"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odern</w:t>
      </w: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Slavery</w:t>
      </w:r>
      <w:proofErr w:type="spellEnd"/>
    </w:p>
    <w:p w14:paraId="1D933342" w14:textId="1625EBAB" w:rsidR="00FD1E0E" w:rsidRDefault="00F5282D" w:rsidP="00BF0DEE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take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proactive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steps</w:t>
      </w:r>
      <w:proofErr w:type="spellEnd"/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identify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tackle</w:t>
      </w:r>
      <w:proofErr w:type="spellEnd"/>
      <w:r>
        <w:rPr>
          <w:rFonts w:ascii="Verdana" w:hAnsi="Verdana"/>
          <w:sz w:val="18"/>
          <w:szCs w:val="18"/>
        </w:rPr>
        <w:t xml:space="preserve"> modern </w:t>
      </w:r>
      <w:proofErr w:type="spellStart"/>
      <w:r>
        <w:rPr>
          <w:rFonts w:ascii="Verdana" w:hAnsi="Verdana"/>
          <w:sz w:val="18"/>
          <w:szCs w:val="18"/>
        </w:rPr>
        <w:t>slavery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own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organizations</w:t>
      </w:r>
      <w:proofErr w:type="spellEnd"/>
      <w:r>
        <w:rPr>
          <w:rFonts w:ascii="Verdana" w:hAnsi="Verdana"/>
          <w:sz w:val="18"/>
          <w:szCs w:val="18"/>
        </w:rPr>
        <w:t xml:space="preserve"> as well as </w:t>
      </w:r>
      <w:proofErr w:type="spellStart"/>
      <w:r>
        <w:rPr>
          <w:rFonts w:ascii="Verdana" w:hAnsi="Verdana"/>
          <w:sz w:val="18"/>
          <w:szCs w:val="18"/>
        </w:rPr>
        <w:t>their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chains</w:t>
      </w:r>
      <w:proofErr w:type="spellEnd"/>
      <w:r>
        <w:rPr>
          <w:rFonts w:ascii="Verdana" w:hAnsi="Verdana"/>
          <w:sz w:val="18"/>
          <w:szCs w:val="18"/>
        </w:rPr>
        <w:t>.</w:t>
      </w:r>
      <w:r w:rsidR="000F497C">
        <w:rPr>
          <w:rFonts w:ascii="Verdana" w:hAnsi="Verdana"/>
          <w:sz w:val="18"/>
          <w:szCs w:val="18"/>
        </w:rPr>
        <w:t xml:space="preserve">  </w:t>
      </w:r>
    </w:p>
    <w:p w14:paraId="3322220D" w14:textId="25E1CBC4" w:rsidR="00256427" w:rsidRPr="00FD1E0E" w:rsidRDefault="00256427" w:rsidP="00BF0DEE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</w:t>
      </w:r>
      <w:r w:rsidR="00F5282D"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onfidentiality</w:t>
      </w:r>
      <w:proofErr w:type="spellEnd"/>
      <w:r w:rsidR="00F5282D"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of </w:t>
      </w:r>
      <w:proofErr w:type="spellStart"/>
      <w:r w:rsidR="00F5282D"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information</w:t>
      </w:r>
      <w:proofErr w:type="spellEnd"/>
    </w:p>
    <w:p w14:paraId="3F81139B" w14:textId="5B3B4B45" w:rsidR="00BF0DEE" w:rsidRDefault="00F5282D" w:rsidP="00BF0DEE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, or </w:t>
      </w:r>
      <w:proofErr w:type="spellStart"/>
      <w:r>
        <w:rPr>
          <w:rFonts w:ascii="Verdana" w:hAnsi="Verdana"/>
          <w:sz w:val="18"/>
          <w:szCs w:val="18"/>
        </w:rPr>
        <w:t>anyone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working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behalf</w:t>
      </w:r>
      <w:proofErr w:type="spellEnd"/>
      <w:r>
        <w:rPr>
          <w:rFonts w:ascii="Verdana" w:hAnsi="Verdana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sz w:val="18"/>
          <w:szCs w:val="18"/>
        </w:rPr>
        <w:t>supplier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not </w:t>
      </w:r>
      <w:proofErr w:type="spellStart"/>
      <w:r>
        <w:rPr>
          <w:rFonts w:ascii="Verdana" w:hAnsi="Verdana"/>
          <w:sz w:val="18"/>
          <w:szCs w:val="18"/>
        </w:rPr>
        <w:t>share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confidential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information</w:t>
      </w:r>
      <w:proofErr w:type="spellEnd"/>
      <w:r w:rsidR="00BF0DEE">
        <w:rPr>
          <w:rFonts w:ascii="Verdana" w:hAnsi="Verdana"/>
          <w:sz w:val="18"/>
          <w:szCs w:val="18"/>
        </w:rPr>
        <w:t xml:space="preserve">. </w:t>
      </w:r>
    </w:p>
    <w:p w14:paraId="55D9F4B4" w14:textId="16DE1D91" w:rsidR="00FD1E0E" w:rsidRPr="00BF0DEE" w:rsidRDefault="008C6B03" w:rsidP="00BF0DEE">
      <w:pPr>
        <w:jc w:val="both"/>
      </w:pP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appropriate</w:t>
      </w:r>
      <w:proofErr w:type="spellEnd"/>
      <w:r>
        <w:rPr>
          <w:rFonts w:ascii="Verdana" w:hAnsi="Verdana"/>
          <w:sz w:val="18"/>
          <w:szCs w:val="18"/>
        </w:rPr>
        <w:t xml:space="preserve"> data </w:t>
      </w:r>
      <w:proofErr w:type="spellStart"/>
      <w:r>
        <w:rPr>
          <w:rFonts w:ascii="Verdana" w:hAnsi="Verdana"/>
          <w:sz w:val="18"/>
          <w:szCs w:val="18"/>
        </w:rPr>
        <w:t>protection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place</w:t>
      </w:r>
      <w:proofErr w:type="spellEnd"/>
      <w:r>
        <w:rPr>
          <w:rFonts w:ascii="Verdana" w:hAnsi="Verdana"/>
          <w:sz w:val="18"/>
          <w:szCs w:val="18"/>
        </w:rPr>
        <w:t>.</w:t>
      </w:r>
      <w:r w:rsidR="00BF0DE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To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appropriate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consistent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what</w:t>
      </w:r>
      <w:proofErr w:type="spellEnd"/>
      <w:r>
        <w:rPr>
          <w:rFonts w:ascii="Verdana" w:hAnsi="Verdana"/>
          <w:sz w:val="18"/>
          <w:szCs w:val="18"/>
        </w:rPr>
        <w:t xml:space="preserve"> is </w:t>
      </w:r>
      <w:proofErr w:type="spellStart"/>
      <w:r>
        <w:rPr>
          <w:rFonts w:ascii="Verdana" w:hAnsi="Verdana"/>
          <w:sz w:val="18"/>
          <w:szCs w:val="18"/>
        </w:rPr>
        <w:t>expected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the sector,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the Data </w:t>
      </w:r>
      <w:proofErr w:type="spellStart"/>
      <w:r>
        <w:rPr>
          <w:rFonts w:ascii="Verdana" w:hAnsi="Verdana"/>
          <w:sz w:val="18"/>
          <w:szCs w:val="18"/>
        </w:rPr>
        <w:t>Protection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Data Security </w:t>
      </w:r>
      <w:proofErr w:type="spellStart"/>
      <w:r>
        <w:rPr>
          <w:rFonts w:ascii="Verdana" w:hAnsi="Verdana"/>
          <w:sz w:val="18"/>
          <w:szCs w:val="18"/>
        </w:rPr>
        <w:t>Guidelines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Producers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258D7D9A" w14:textId="3DF1AC28" w:rsidR="00256427" w:rsidRPr="00FD1E0E" w:rsidRDefault="00815965" w:rsidP="00BF0DEE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Corporate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Responsibility</w:t>
      </w:r>
      <w:proofErr w:type="spellEnd"/>
    </w:p>
    <w:p w14:paraId="4018391D" w14:textId="0EBFBDBE" w:rsidR="00BF0DEE" w:rsidRDefault="00815965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 S4C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expected</w:t>
      </w:r>
      <w:proofErr w:type="spellEnd"/>
      <w:r>
        <w:rPr>
          <w:rFonts w:ascii="Verdana" w:hAnsi="Verdana"/>
          <w:sz w:val="18"/>
          <w:szCs w:val="18"/>
        </w:rPr>
        <w:t xml:space="preserve"> to act </w:t>
      </w:r>
      <w:proofErr w:type="spellStart"/>
      <w:r>
        <w:rPr>
          <w:rFonts w:ascii="Verdana" w:hAnsi="Verdana"/>
          <w:sz w:val="18"/>
          <w:szCs w:val="18"/>
        </w:rPr>
        <w:t>honestly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ethically</w:t>
      </w:r>
      <w:proofErr w:type="spellEnd"/>
      <w:r w:rsidR="007C6337">
        <w:rPr>
          <w:rFonts w:ascii="Verdana" w:hAnsi="Verdana"/>
          <w:sz w:val="18"/>
          <w:szCs w:val="18"/>
        </w:rPr>
        <w:t>.</w:t>
      </w:r>
      <w:r w:rsidR="00BF0DEE">
        <w:rPr>
          <w:rFonts w:ascii="Verdana" w:hAnsi="Verdana"/>
          <w:sz w:val="18"/>
          <w:szCs w:val="18"/>
        </w:rPr>
        <w:t xml:space="preserve">  </w:t>
      </w:r>
      <w:proofErr w:type="spellStart"/>
      <w:r w:rsidR="007C6337">
        <w:rPr>
          <w:rFonts w:ascii="Verdana" w:hAnsi="Verdana"/>
          <w:sz w:val="18"/>
          <w:szCs w:val="18"/>
        </w:rPr>
        <w:t>Suppliers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have</w:t>
      </w:r>
      <w:proofErr w:type="spellEnd"/>
      <w:r w:rsidR="007C6337">
        <w:rPr>
          <w:rFonts w:ascii="Verdana" w:hAnsi="Verdana"/>
          <w:sz w:val="18"/>
          <w:szCs w:val="18"/>
        </w:rPr>
        <w:t xml:space="preserve"> a </w:t>
      </w:r>
      <w:proofErr w:type="spellStart"/>
      <w:r w:rsidR="007C6337">
        <w:rPr>
          <w:rFonts w:ascii="Verdana" w:hAnsi="Verdana"/>
          <w:sz w:val="18"/>
          <w:szCs w:val="18"/>
        </w:rPr>
        <w:t>responsibility</w:t>
      </w:r>
      <w:proofErr w:type="spellEnd"/>
      <w:r w:rsidR="007C6337">
        <w:rPr>
          <w:rFonts w:ascii="Verdana" w:hAnsi="Verdana"/>
          <w:sz w:val="18"/>
          <w:szCs w:val="18"/>
        </w:rPr>
        <w:t xml:space="preserve"> to </w:t>
      </w:r>
      <w:proofErr w:type="spellStart"/>
      <w:r w:rsidR="007C6337">
        <w:rPr>
          <w:rFonts w:ascii="Verdana" w:hAnsi="Verdana"/>
          <w:sz w:val="18"/>
          <w:szCs w:val="18"/>
        </w:rPr>
        <w:t>represent</w:t>
      </w:r>
      <w:proofErr w:type="spellEnd"/>
      <w:r w:rsidR="007C6337">
        <w:rPr>
          <w:rFonts w:ascii="Verdana" w:hAnsi="Verdana"/>
          <w:sz w:val="18"/>
          <w:szCs w:val="18"/>
        </w:rPr>
        <w:t xml:space="preserve"> S4C’s </w:t>
      </w:r>
      <w:proofErr w:type="spellStart"/>
      <w:r w:rsidR="007C6337">
        <w:rPr>
          <w:rFonts w:ascii="Verdana" w:hAnsi="Verdana"/>
          <w:sz w:val="18"/>
          <w:szCs w:val="18"/>
        </w:rPr>
        <w:t>interests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and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standards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in</w:t>
      </w:r>
      <w:proofErr w:type="spellEnd"/>
      <w:r w:rsidR="007C6337">
        <w:rPr>
          <w:rFonts w:ascii="Verdana" w:hAnsi="Verdana"/>
          <w:sz w:val="18"/>
          <w:szCs w:val="18"/>
        </w:rPr>
        <w:t xml:space="preserve"> all </w:t>
      </w:r>
      <w:proofErr w:type="spellStart"/>
      <w:r w:rsidR="007C6337">
        <w:rPr>
          <w:rFonts w:ascii="Verdana" w:hAnsi="Verdana"/>
          <w:sz w:val="18"/>
          <w:szCs w:val="18"/>
        </w:rPr>
        <w:t>aspects</w:t>
      </w:r>
      <w:proofErr w:type="spellEnd"/>
      <w:r w:rsidR="007C6337">
        <w:rPr>
          <w:rFonts w:ascii="Verdana" w:hAnsi="Verdana"/>
          <w:sz w:val="18"/>
          <w:szCs w:val="18"/>
        </w:rPr>
        <w:t xml:space="preserve"> of </w:t>
      </w:r>
      <w:proofErr w:type="spellStart"/>
      <w:r w:rsidR="007C6337">
        <w:rPr>
          <w:rFonts w:ascii="Verdana" w:hAnsi="Verdana"/>
          <w:sz w:val="18"/>
          <w:szCs w:val="18"/>
        </w:rPr>
        <w:t>its</w:t>
      </w:r>
      <w:proofErr w:type="spellEnd"/>
      <w:r w:rsidR="007C6337">
        <w:rPr>
          <w:rFonts w:ascii="Verdana" w:hAnsi="Verdana"/>
          <w:sz w:val="18"/>
          <w:szCs w:val="18"/>
        </w:rPr>
        <w:t xml:space="preserve"> S4C-related </w:t>
      </w:r>
      <w:proofErr w:type="spellStart"/>
      <w:r w:rsidR="007C6337">
        <w:rPr>
          <w:rFonts w:ascii="Verdana" w:hAnsi="Verdana"/>
          <w:sz w:val="18"/>
          <w:szCs w:val="18"/>
        </w:rPr>
        <w:t>work</w:t>
      </w:r>
      <w:proofErr w:type="spellEnd"/>
      <w:r w:rsidR="007C6337">
        <w:rPr>
          <w:rFonts w:ascii="Verdana" w:hAnsi="Verdana"/>
          <w:sz w:val="18"/>
          <w:szCs w:val="18"/>
        </w:rPr>
        <w:t xml:space="preserve"> by </w:t>
      </w:r>
      <w:proofErr w:type="spellStart"/>
      <w:r w:rsidR="007C6337">
        <w:rPr>
          <w:rFonts w:ascii="Verdana" w:hAnsi="Verdana"/>
          <w:sz w:val="18"/>
          <w:szCs w:val="18"/>
        </w:rPr>
        <w:t>acting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professionally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and</w:t>
      </w:r>
      <w:proofErr w:type="spellEnd"/>
      <w:r w:rsidR="007C6337">
        <w:rPr>
          <w:rFonts w:ascii="Verdana" w:hAnsi="Verdana"/>
          <w:sz w:val="18"/>
          <w:szCs w:val="18"/>
        </w:rPr>
        <w:t xml:space="preserve"> </w:t>
      </w:r>
      <w:proofErr w:type="spellStart"/>
      <w:r w:rsidR="007C6337">
        <w:rPr>
          <w:rFonts w:ascii="Verdana" w:hAnsi="Verdana"/>
          <w:sz w:val="18"/>
          <w:szCs w:val="18"/>
        </w:rPr>
        <w:t>fairly</w:t>
      </w:r>
      <w:proofErr w:type="spellEnd"/>
      <w:r w:rsidR="007C6337">
        <w:rPr>
          <w:rFonts w:ascii="Verdana" w:hAnsi="Verdana"/>
          <w:sz w:val="18"/>
          <w:szCs w:val="18"/>
        </w:rPr>
        <w:t>.</w:t>
      </w:r>
    </w:p>
    <w:p w14:paraId="7C53E1E7" w14:textId="6BE26DE3" w:rsidR="00E212A1" w:rsidRPr="00FD1E0E" w:rsidRDefault="007C6337" w:rsidP="00BF0DE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Bribery</w:t>
      </w:r>
      <w:proofErr w:type="spellEnd"/>
    </w:p>
    <w:p w14:paraId="390E48FD" w14:textId="150B0CDD" w:rsidR="00E212A1" w:rsidRDefault="004C40DD" w:rsidP="00514ADF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they</w:t>
      </w:r>
      <w:proofErr w:type="spellEnd"/>
      <w:r>
        <w:rPr>
          <w:rFonts w:ascii="Verdana" w:hAnsi="Verdana"/>
          <w:sz w:val="18"/>
          <w:szCs w:val="18"/>
        </w:rPr>
        <w:t xml:space="preserve"> do not act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contravention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anti-bribery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laws</w:t>
      </w:r>
      <w:proofErr w:type="spellEnd"/>
      <w:r w:rsidR="00D77086">
        <w:rPr>
          <w:rFonts w:ascii="Verdana" w:hAnsi="Verdana"/>
          <w:sz w:val="18"/>
          <w:szCs w:val="18"/>
        </w:rPr>
        <w:t xml:space="preserve">. 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compliance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S4C’s </w:t>
      </w:r>
      <w:proofErr w:type="spellStart"/>
      <w:r>
        <w:rPr>
          <w:rFonts w:ascii="Verdana" w:hAnsi="Verdana"/>
          <w:sz w:val="18"/>
          <w:szCs w:val="18"/>
        </w:rPr>
        <w:t>High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Level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Anti-Bribery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Principles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412E54D" w14:textId="0EF13DB5" w:rsidR="00256427" w:rsidRPr="00FD1E0E" w:rsidRDefault="004C40DD" w:rsidP="00514ADF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Editorial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Compliance</w:t>
      </w:r>
      <w:proofErr w:type="spellEnd"/>
    </w:p>
    <w:p w14:paraId="13F3C18C" w14:textId="0EED8595" w:rsidR="00256427" w:rsidRDefault="002C7126" w:rsidP="00514AD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 is a </w:t>
      </w:r>
      <w:proofErr w:type="spellStart"/>
      <w:r>
        <w:rPr>
          <w:rFonts w:ascii="Verdana" w:hAnsi="Verdana"/>
          <w:sz w:val="18"/>
          <w:szCs w:val="18"/>
        </w:rPr>
        <w:t>statutory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duty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S4C </w:t>
      </w:r>
      <w:proofErr w:type="spellStart"/>
      <w:r>
        <w:rPr>
          <w:rFonts w:ascii="Verdana" w:hAnsi="Verdana"/>
          <w:sz w:val="18"/>
          <w:szCs w:val="18"/>
        </w:rPr>
        <w:t>program</w:t>
      </w:r>
      <w:r w:rsidR="00D06E63">
        <w:rPr>
          <w:rFonts w:ascii="Verdana" w:hAnsi="Verdana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Ofcom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</w:t>
      </w:r>
      <w:r w:rsidR="00D436FC">
        <w:rPr>
          <w:rFonts w:ascii="Verdana" w:hAnsi="Verdana"/>
          <w:sz w:val="18"/>
          <w:szCs w:val="18"/>
        </w:rPr>
        <w:t>nveyed</w:t>
      </w:r>
      <w:proofErr w:type="spellEnd"/>
      <w:r>
        <w:rPr>
          <w:rFonts w:ascii="Verdana" w:hAnsi="Verdana"/>
          <w:sz w:val="18"/>
          <w:szCs w:val="18"/>
        </w:rPr>
        <w:t xml:space="preserve"> to S4C </w:t>
      </w:r>
      <w:proofErr w:type="spellStart"/>
      <w:r>
        <w:rPr>
          <w:rFonts w:ascii="Verdana" w:hAnsi="Verdana"/>
          <w:sz w:val="18"/>
          <w:szCs w:val="18"/>
        </w:rPr>
        <w:t>complies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rules</w:t>
      </w:r>
      <w:proofErr w:type="spellEnd"/>
      <w:r w:rsidR="00D436FC">
        <w:rPr>
          <w:rFonts w:ascii="Verdana" w:hAnsi="Verdana"/>
          <w:sz w:val="18"/>
          <w:szCs w:val="18"/>
        </w:rPr>
        <w:t>.</w:t>
      </w:r>
    </w:p>
    <w:p w14:paraId="0954D408" w14:textId="04DA72D0" w:rsidR="00256427" w:rsidRPr="00FD1E0E" w:rsidRDefault="00D436FC" w:rsidP="00FF3BC9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Social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Media</w:t>
      </w:r>
      <w:proofErr w:type="spellEnd"/>
    </w:p>
    <w:p w14:paraId="1656E4EA" w14:textId="47816909" w:rsidR="00FD1E0E" w:rsidRDefault="00D436FC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Care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be </w:t>
      </w:r>
      <w:proofErr w:type="spellStart"/>
      <w:r>
        <w:rPr>
          <w:rFonts w:ascii="Verdana" w:hAnsi="Verdana"/>
          <w:sz w:val="18"/>
          <w:szCs w:val="18"/>
        </w:rPr>
        <w:t>taken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using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social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media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especially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when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content</w:t>
      </w:r>
      <w:proofErr w:type="spellEnd"/>
      <w:r>
        <w:rPr>
          <w:rFonts w:ascii="Verdana" w:hAnsi="Verdana"/>
          <w:sz w:val="18"/>
          <w:szCs w:val="18"/>
        </w:rPr>
        <w:t xml:space="preserve"> can be </w:t>
      </w:r>
      <w:proofErr w:type="spellStart"/>
      <w:r>
        <w:rPr>
          <w:rFonts w:ascii="Verdana" w:hAnsi="Verdana"/>
          <w:sz w:val="18"/>
          <w:szCs w:val="18"/>
        </w:rPr>
        <w:t>linked</w:t>
      </w:r>
      <w:proofErr w:type="spellEnd"/>
      <w:r>
        <w:rPr>
          <w:rFonts w:ascii="Verdana" w:hAnsi="Verdana"/>
          <w:sz w:val="18"/>
          <w:szCs w:val="18"/>
        </w:rPr>
        <w:t xml:space="preserve"> to S4C.</w:t>
      </w:r>
      <w:r w:rsidR="00E212A1"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they</w:t>
      </w:r>
      <w:proofErr w:type="spellEnd"/>
      <w:r>
        <w:rPr>
          <w:rFonts w:ascii="Verdana" w:hAnsi="Verdana"/>
          <w:sz w:val="18"/>
          <w:szCs w:val="18"/>
        </w:rPr>
        <w:t xml:space="preserve"> (or </w:t>
      </w:r>
      <w:proofErr w:type="spellStart"/>
      <w:r>
        <w:rPr>
          <w:rFonts w:ascii="Verdana" w:hAnsi="Verdana"/>
          <w:sz w:val="18"/>
          <w:szCs w:val="18"/>
        </w:rPr>
        <w:t>anyone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working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behalf</w:t>
      </w:r>
      <w:proofErr w:type="spellEnd"/>
      <w:r>
        <w:rPr>
          <w:rFonts w:ascii="Verdana" w:hAnsi="Verdana"/>
          <w:sz w:val="18"/>
          <w:szCs w:val="18"/>
        </w:rPr>
        <w:t xml:space="preserve">) </w:t>
      </w:r>
      <w:proofErr w:type="spellStart"/>
      <w:r>
        <w:rPr>
          <w:rFonts w:ascii="Verdana" w:hAnsi="Verdana"/>
          <w:sz w:val="18"/>
          <w:szCs w:val="18"/>
        </w:rPr>
        <w:t>publish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social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media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complies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S4C’s </w:t>
      </w:r>
      <w:proofErr w:type="spellStart"/>
      <w:r>
        <w:rPr>
          <w:rFonts w:ascii="Verdana" w:hAnsi="Verdana"/>
          <w:sz w:val="18"/>
          <w:szCs w:val="18"/>
        </w:rPr>
        <w:t>Social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Media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Policy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1E98ACB7" w14:textId="5D719F78" w:rsidR="00256427" w:rsidRPr="00FD1E0E" w:rsidRDefault="00D436FC" w:rsidP="00FF3BC9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Health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and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Safety</w:t>
      </w:r>
      <w:proofErr w:type="spellEnd"/>
    </w:p>
    <w:p w14:paraId="6226BBCD" w14:textId="492A5143" w:rsidR="00256427" w:rsidRDefault="00D436FC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proofErr w:type="spellStart"/>
      <w:r>
        <w:rPr>
          <w:rFonts w:ascii="Verdana" w:hAnsi="Verdana"/>
          <w:sz w:val="18"/>
          <w:szCs w:val="18"/>
        </w:rPr>
        <w:t>primary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legal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responsibility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</w:t>
      </w:r>
      <w:proofErr w:type="spellEnd"/>
      <w:r>
        <w:rPr>
          <w:rFonts w:ascii="Verdana" w:hAnsi="Verdana"/>
          <w:sz w:val="18"/>
          <w:szCs w:val="18"/>
        </w:rPr>
        <w:t xml:space="preserve"> the </w:t>
      </w:r>
      <w:proofErr w:type="spellStart"/>
      <w:r>
        <w:rPr>
          <w:rFonts w:ascii="Verdana" w:hAnsi="Verdana"/>
          <w:sz w:val="18"/>
          <w:szCs w:val="18"/>
        </w:rPr>
        <w:t>health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safety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 w:rsidR="00E84AF0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roductions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rests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S4C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 w:rsidR="001C2194">
        <w:rPr>
          <w:rFonts w:ascii="Verdana" w:hAnsi="Verdana"/>
          <w:sz w:val="18"/>
          <w:szCs w:val="18"/>
        </w:rPr>
        <w:t>.</w:t>
      </w:r>
      <w:r w:rsidR="00AF218B"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health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safety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consistent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S4C’s </w:t>
      </w:r>
      <w:proofErr w:type="spellStart"/>
      <w:r>
        <w:rPr>
          <w:rFonts w:ascii="Verdana" w:hAnsi="Verdana"/>
          <w:sz w:val="18"/>
          <w:szCs w:val="18"/>
        </w:rPr>
        <w:t>Health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Safety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Guide</w:t>
      </w:r>
      <w:proofErr w:type="spellEnd"/>
      <w:r w:rsidR="0050323E">
        <w:rPr>
          <w:rFonts w:ascii="Verdana" w:hAnsi="Verdana"/>
          <w:sz w:val="18"/>
          <w:szCs w:val="18"/>
        </w:rPr>
        <w:t>.</w:t>
      </w:r>
    </w:p>
    <w:p w14:paraId="02FF80B7" w14:textId="28CD7644" w:rsidR="00256427" w:rsidRDefault="00D436FC" w:rsidP="00FF3BC9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Harassment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Bullying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and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abuse</w:t>
      </w:r>
      <w:proofErr w:type="spellEnd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 xml:space="preserve"> of </w:t>
      </w:r>
      <w:proofErr w:type="spellStart"/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power</w:t>
      </w:r>
      <w:proofErr w:type="spellEnd"/>
    </w:p>
    <w:p w14:paraId="1EF9ACC5" w14:textId="68490356" w:rsidR="00FD1E0E" w:rsidRDefault="0050323E" w:rsidP="00FF3BC9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addition</w:t>
      </w:r>
      <w:proofErr w:type="spellEnd"/>
      <w:r>
        <w:rPr>
          <w:rFonts w:ascii="Verdana" w:hAnsi="Verdana"/>
          <w:sz w:val="18"/>
          <w:szCs w:val="18"/>
        </w:rPr>
        <w:t xml:space="preserve"> to the </w:t>
      </w:r>
      <w:proofErr w:type="spellStart"/>
      <w:r>
        <w:rPr>
          <w:rFonts w:ascii="Verdana" w:hAnsi="Verdana"/>
          <w:sz w:val="18"/>
          <w:szCs w:val="18"/>
        </w:rPr>
        <w:t>expectation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all </w:t>
      </w:r>
      <w:proofErr w:type="spellStart"/>
      <w:r>
        <w:rPr>
          <w:rFonts w:ascii="Verdana" w:hAnsi="Verdana"/>
          <w:sz w:val="18"/>
          <w:szCs w:val="18"/>
        </w:rPr>
        <w:t>harassment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discrimination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law</w:t>
      </w:r>
      <w:r w:rsidR="00D06E63">
        <w:rPr>
          <w:rFonts w:ascii="Verdana" w:hAnsi="Verdana"/>
          <w:sz w:val="18"/>
          <w:szCs w:val="18"/>
        </w:rPr>
        <w:t>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accordance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S4C’s </w:t>
      </w:r>
      <w:proofErr w:type="spellStart"/>
      <w:r>
        <w:rPr>
          <w:rFonts w:ascii="Verdana" w:hAnsi="Verdana"/>
          <w:sz w:val="18"/>
          <w:szCs w:val="18"/>
        </w:rPr>
        <w:t>Whistleblowing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Policy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they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demonstrate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appropriate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policies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place</w:t>
      </w:r>
      <w:proofErr w:type="spellEnd"/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compliance</w:t>
      </w:r>
      <w:proofErr w:type="spellEnd"/>
      <w:r>
        <w:rPr>
          <w:rFonts w:ascii="Verdana" w:hAnsi="Verdana"/>
          <w:sz w:val="18"/>
          <w:szCs w:val="18"/>
        </w:rPr>
        <w:t>.</w:t>
      </w:r>
      <w:r w:rsidR="00256427">
        <w:rPr>
          <w:rFonts w:ascii="Verdana" w:hAnsi="Verdana"/>
          <w:sz w:val="18"/>
          <w:szCs w:val="18"/>
        </w:rPr>
        <w:t xml:space="preserve"> </w:t>
      </w:r>
      <w:r w:rsidR="006E272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Suppliers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should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also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ensure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employees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those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who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have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clear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awareness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understanding</w:t>
      </w:r>
      <w:proofErr w:type="spellEnd"/>
      <w:r>
        <w:rPr>
          <w:rFonts w:ascii="Verdana" w:hAnsi="Verdana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sz w:val="18"/>
          <w:szCs w:val="18"/>
        </w:rPr>
        <w:t>relevant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processes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B65D590" w14:textId="77777777" w:rsidR="00FD1E0E" w:rsidRDefault="00FD1E0E">
      <w:pPr>
        <w:rPr>
          <w:rFonts w:ascii="Verdana" w:hAnsi="Verdana"/>
          <w:sz w:val="18"/>
          <w:szCs w:val="18"/>
        </w:rPr>
      </w:pPr>
    </w:p>
    <w:p w14:paraId="3CBED78B" w14:textId="77777777" w:rsidR="00FD1E0E" w:rsidRDefault="00FD1E0E">
      <w:pPr>
        <w:rPr>
          <w:rFonts w:ascii="Verdana" w:hAnsi="Verdana"/>
          <w:sz w:val="18"/>
          <w:szCs w:val="18"/>
        </w:rPr>
      </w:pPr>
    </w:p>
    <w:p w14:paraId="005FCE6F" w14:textId="77777777" w:rsidR="00FD1E0E" w:rsidRPr="00FD1E0E" w:rsidRDefault="00FD1E0E">
      <w:pPr>
        <w:rPr>
          <w:rFonts w:ascii="Verdana" w:hAnsi="Verdana"/>
          <w:sz w:val="18"/>
          <w:szCs w:val="18"/>
        </w:rPr>
      </w:pPr>
    </w:p>
    <w:sectPr w:rsidR="00FD1E0E" w:rsidRPr="00FD1E0E" w:rsidSect="005C369C">
      <w:type w:val="continuous"/>
      <w:pgSz w:w="16838" w:h="11906" w:orient="landscape"/>
      <w:pgMar w:top="1440" w:right="1440" w:bottom="426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308E" w14:textId="77777777" w:rsidR="00732984" w:rsidRDefault="00732984" w:rsidP="0040682D">
      <w:pPr>
        <w:spacing w:after="0" w:line="240" w:lineRule="auto"/>
      </w:pPr>
      <w:r>
        <w:separator/>
      </w:r>
    </w:p>
  </w:endnote>
  <w:endnote w:type="continuationSeparator" w:id="0">
    <w:p w14:paraId="2C2959F6" w14:textId="77777777" w:rsidR="00732984" w:rsidRDefault="00732984" w:rsidP="004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EFC7" w14:textId="77777777" w:rsidR="00732984" w:rsidRDefault="00732984" w:rsidP="0040682D">
      <w:pPr>
        <w:spacing w:after="0" w:line="240" w:lineRule="auto"/>
      </w:pPr>
      <w:r>
        <w:separator/>
      </w:r>
    </w:p>
  </w:footnote>
  <w:footnote w:type="continuationSeparator" w:id="0">
    <w:p w14:paraId="18B41B83" w14:textId="77777777" w:rsidR="00732984" w:rsidRDefault="00732984" w:rsidP="0040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55EA" w14:textId="77777777" w:rsidR="0040682D" w:rsidRDefault="0040682D">
    <w:pPr>
      <w:pStyle w:val="Header"/>
    </w:pPr>
    <w:r w:rsidRPr="00B85FC6">
      <w:rPr>
        <w:noProof/>
        <w:color w:val="auto"/>
      </w:rPr>
      <w:drawing>
        <wp:inline distT="0" distB="0" distL="0" distR="0" wp14:anchorId="474E7BE1" wp14:editId="28F34C6B">
          <wp:extent cx="831850" cy="704850"/>
          <wp:effectExtent l="0" t="0" r="6350" b="0"/>
          <wp:docPr id="28" name="Picture 28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C1BBA"/>
    <w:multiLevelType w:val="multilevel"/>
    <w:tmpl w:val="661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4"/>
    <w:rsid w:val="000328A3"/>
    <w:rsid w:val="000412FB"/>
    <w:rsid w:val="000E7546"/>
    <w:rsid w:val="000F497C"/>
    <w:rsid w:val="00171168"/>
    <w:rsid w:val="00190296"/>
    <w:rsid w:val="001C2194"/>
    <w:rsid w:val="001C37E0"/>
    <w:rsid w:val="001D774A"/>
    <w:rsid w:val="0022229E"/>
    <w:rsid w:val="00256427"/>
    <w:rsid w:val="002C7126"/>
    <w:rsid w:val="0038621F"/>
    <w:rsid w:val="0040682D"/>
    <w:rsid w:val="004315C4"/>
    <w:rsid w:val="004778B6"/>
    <w:rsid w:val="004C40DD"/>
    <w:rsid w:val="0050323E"/>
    <w:rsid w:val="00514ADF"/>
    <w:rsid w:val="0051670A"/>
    <w:rsid w:val="00521E95"/>
    <w:rsid w:val="005306AA"/>
    <w:rsid w:val="005829F1"/>
    <w:rsid w:val="00595FB4"/>
    <w:rsid w:val="005C369C"/>
    <w:rsid w:val="005E2FE0"/>
    <w:rsid w:val="0063543A"/>
    <w:rsid w:val="006A35D6"/>
    <w:rsid w:val="006E2721"/>
    <w:rsid w:val="006E3A57"/>
    <w:rsid w:val="00702C6D"/>
    <w:rsid w:val="00732984"/>
    <w:rsid w:val="00752EC4"/>
    <w:rsid w:val="00774B7D"/>
    <w:rsid w:val="007A40B1"/>
    <w:rsid w:val="007C5B2D"/>
    <w:rsid w:val="007C6337"/>
    <w:rsid w:val="007C64C4"/>
    <w:rsid w:val="007F12E1"/>
    <w:rsid w:val="00815965"/>
    <w:rsid w:val="008521A0"/>
    <w:rsid w:val="008916F5"/>
    <w:rsid w:val="008C6B03"/>
    <w:rsid w:val="00916CD3"/>
    <w:rsid w:val="00933124"/>
    <w:rsid w:val="0093697F"/>
    <w:rsid w:val="00960492"/>
    <w:rsid w:val="00981041"/>
    <w:rsid w:val="009A25FC"/>
    <w:rsid w:val="009B2817"/>
    <w:rsid w:val="009D0D11"/>
    <w:rsid w:val="009E0EFE"/>
    <w:rsid w:val="009E182D"/>
    <w:rsid w:val="00AF218B"/>
    <w:rsid w:val="00B04AB8"/>
    <w:rsid w:val="00BA4AA1"/>
    <w:rsid w:val="00BD09C9"/>
    <w:rsid w:val="00BF0DEE"/>
    <w:rsid w:val="00C66C11"/>
    <w:rsid w:val="00CB7CD4"/>
    <w:rsid w:val="00D06E63"/>
    <w:rsid w:val="00D10366"/>
    <w:rsid w:val="00D14FDE"/>
    <w:rsid w:val="00D40F23"/>
    <w:rsid w:val="00D436FC"/>
    <w:rsid w:val="00D77086"/>
    <w:rsid w:val="00D83B01"/>
    <w:rsid w:val="00DA556F"/>
    <w:rsid w:val="00DD20DF"/>
    <w:rsid w:val="00E212A1"/>
    <w:rsid w:val="00E84AF0"/>
    <w:rsid w:val="00E852C9"/>
    <w:rsid w:val="00EF0E5E"/>
    <w:rsid w:val="00F03639"/>
    <w:rsid w:val="00F07AAE"/>
    <w:rsid w:val="00F51D3E"/>
    <w:rsid w:val="00F5282D"/>
    <w:rsid w:val="00F73171"/>
    <w:rsid w:val="00F7788A"/>
    <w:rsid w:val="00FC3116"/>
    <w:rsid w:val="00FD1E0E"/>
    <w:rsid w:val="00FE09FA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DFCD"/>
  <w15:chartTrackingRefBased/>
  <w15:docId w15:val="{334C9B3C-D913-4C00-84DE-C9BFC74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2D"/>
    <w:pPr>
      <w:spacing w:after="200" w:line="240" w:lineRule="atLeast"/>
    </w:pPr>
    <w:rPr>
      <w:rFonts w:ascii="Arial" w:eastAsia="Arial" w:hAnsi="Arial" w:cs="Arial"/>
      <w:color w:val="000000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2D"/>
    <w:rPr>
      <w:rFonts w:ascii="Arial" w:eastAsia="Arial" w:hAnsi="Arial" w:cs="Arial"/>
      <w:color w:val="000000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4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2D"/>
    <w:rPr>
      <w:rFonts w:ascii="Arial" w:eastAsia="Arial" w:hAnsi="Arial" w:cs="Arial"/>
      <w:color w:val="000000"/>
      <w:lang w:eastAsia="cy-GB"/>
    </w:rPr>
  </w:style>
  <w:style w:type="character" w:styleId="Hyperlink">
    <w:name w:val="Hyperlink"/>
    <w:basedOn w:val="DefaultParagraphFont"/>
    <w:uiPriority w:val="99"/>
    <w:unhideWhenUsed/>
    <w:rsid w:val="00D7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4c.cymru/cy/cynhyrchu/page/1154/canllawi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Jones - S4C</dc:creator>
  <cp:keywords/>
  <dc:description/>
  <cp:lastModifiedBy>Meinir Theophilus</cp:lastModifiedBy>
  <cp:revision>3</cp:revision>
  <dcterms:created xsi:type="dcterms:W3CDTF">2021-11-15T12:23:00Z</dcterms:created>
  <dcterms:modified xsi:type="dcterms:W3CDTF">2021-11-15T12:24:00Z</dcterms:modified>
</cp:coreProperties>
</file>